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after="0" w:line="560" w:lineRule="exact"/>
        <w:contextualSpacing/>
        <w:jc w:val="center"/>
        <w:textAlignment w:val="auto"/>
        <w:rPr>
          <w:rFonts w:hint="eastAsia" w:ascii="方正小标宋_GBK" w:hAnsi="宋体" w:eastAsia="方正小标宋_GBK" w:cs="宋体"/>
          <w:bCs/>
          <w:color w:val="000000"/>
          <w:sz w:val="44"/>
          <w:szCs w:val="44"/>
          <w:highlight w:val="none"/>
          <w:lang w:eastAsia="zh-CN" w:bidi="ar-SA"/>
        </w:rPr>
      </w:pPr>
      <w:r>
        <w:rPr>
          <w:rFonts w:hint="eastAsia" w:ascii="方正小标宋_GBK" w:hAnsi="宋体" w:eastAsia="方正小标宋_GBK"/>
          <w:sz w:val="44"/>
          <w:szCs w:val="44"/>
          <w:highlight w:val="none"/>
          <w:lang w:eastAsia="zh-CN"/>
        </w:rPr>
        <w:t>南山区促进产业高质量发展专项资金——</w:t>
      </w:r>
      <w:r>
        <w:rPr>
          <w:rFonts w:ascii="方正小标宋_GBK" w:hAnsi="宋体" w:eastAsia="方正小标宋_GBK"/>
          <w:color w:val="000000" w:themeColor="text1"/>
          <w:sz w:val="44"/>
          <w:szCs w:val="44"/>
          <w:highlight w:val="none"/>
          <w:lang w:eastAsia="zh-CN"/>
          <w14:textFill>
            <w14:solidFill>
              <w14:schemeClr w14:val="tx1"/>
            </w14:solidFill>
          </w14:textFill>
        </w:rPr>
        <w:t>区</w:t>
      </w:r>
      <w:r>
        <w:rPr>
          <w:rFonts w:hint="eastAsia" w:ascii="方正小标宋简体" w:hAnsi="方正小标宋简体" w:eastAsia="方正小标宋简体" w:cs="方正小标宋简体"/>
          <w:color w:val="000000"/>
          <w:sz w:val="44"/>
          <w:szCs w:val="44"/>
          <w:highlight w:val="none"/>
          <w:lang w:val="en-US" w:eastAsia="zh-CN"/>
        </w:rPr>
        <w:t>工业和信息化局</w:t>
      </w:r>
      <w:r>
        <w:rPr>
          <w:rFonts w:ascii="方正小标宋_GBK" w:hAnsi="宋体" w:eastAsia="方正小标宋_GBK"/>
          <w:color w:val="000000" w:themeColor="text1"/>
          <w:sz w:val="44"/>
          <w:szCs w:val="44"/>
          <w:highlight w:val="none"/>
          <w:lang w:eastAsia="zh-CN"/>
          <w14:textFill>
            <w14:solidFill>
              <w14:schemeClr w14:val="tx1"/>
            </w14:solidFill>
          </w14:textFill>
        </w:rPr>
        <w:t>分项资金</w:t>
      </w:r>
      <w:r>
        <w:rPr>
          <w:rFonts w:hint="eastAsia" w:ascii="方正小标宋_GBK" w:hAnsi="宋体" w:eastAsia="方正小标宋_GBK"/>
          <w:color w:val="000000" w:themeColor="text1"/>
          <w:sz w:val="44"/>
          <w:szCs w:val="44"/>
          <w:highlight w:val="none"/>
          <w:lang w:val="en-US" w:eastAsia="zh-CN"/>
          <w14:textFill>
            <w14:solidFill>
              <w14:schemeClr w14:val="tx1"/>
            </w14:solidFill>
          </w14:textFill>
        </w:rPr>
        <w:t>-支持企业数字化转型项目（服务业）</w:t>
      </w:r>
      <w:r>
        <w:rPr>
          <w:rFonts w:hint="eastAsia" w:ascii="方正小标宋_GBK" w:hAnsi="宋体" w:eastAsia="方正小标宋_GBK" w:cs="宋体"/>
          <w:bCs/>
          <w:color w:val="000000"/>
          <w:sz w:val="44"/>
          <w:szCs w:val="44"/>
          <w:highlight w:val="none"/>
          <w:lang w:eastAsia="zh-CN" w:bidi="ar-SA"/>
        </w:rPr>
        <w:t>操作规程</w:t>
      </w:r>
    </w:p>
    <w:p>
      <w:pPr>
        <w:keepNext w:val="0"/>
        <w:keepLines w:val="0"/>
        <w:pageBreakBefore w:val="0"/>
        <w:widowControl w:val="0"/>
        <w:kinsoku/>
        <w:wordWrap/>
        <w:overflowPunct/>
        <w:topLinePunct w:val="0"/>
        <w:autoSpaceDE/>
        <w:autoSpaceDN/>
        <w:bidi w:val="0"/>
        <w:spacing w:beforeLines="0" w:afterLines="0" w:line="560" w:lineRule="exact"/>
        <w:ind w:firstLine="2880" w:firstLineChars="900"/>
        <w:jc w:val="both"/>
        <w:textAlignment w:val="auto"/>
        <w:rPr>
          <w:rFonts w:hint="eastAsia"/>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lang w:val="en-US" w:eastAsia="zh-CN"/>
        </w:rPr>
        <w:t>2024年度</w:t>
      </w:r>
      <w:r>
        <w:rPr>
          <w:rFonts w:hint="eastAsia" w:ascii="楷体_GB2312" w:hAnsi="楷体_GB2312" w:eastAsia="楷体_GB2312" w:cs="楷体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spacing w:after="0" w:line="560" w:lineRule="exact"/>
        <w:ind w:firstLine="640" w:firstLineChars="200"/>
        <w:contextualSpacing/>
        <w:jc w:val="both"/>
        <w:textAlignment w:val="auto"/>
        <w:rPr>
          <w:rFonts w:hint="eastAsia" w:ascii="仿宋_GB2312" w:eastAsia="仿宋_GB2312"/>
          <w:color w:val="000000"/>
          <w:sz w:val="32"/>
          <w:szCs w:val="32"/>
          <w:highlight w:val="none"/>
        </w:rPr>
      </w:pPr>
    </w:p>
    <w:p>
      <w:pPr>
        <w:keepNext w:val="0"/>
        <w:keepLines w:val="0"/>
        <w:pageBreakBefore w:val="0"/>
        <w:widowControl w:val="0"/>
        <w:kinsoku/>
        <w:wordWrap/>
        <w:overflowPunct/>
        <w:topLinePunct w:val="0"/>
        <w:autoSpaceDE/>
        <w:autoSpaceDN/>
        <w:bidi w:val="0"/>
        <w:spacing w:after="0" w:line="560" w:lineRule="exact"/>
        <w:ind w:firstLine="640" w:firstLineChars="200"/>
        <w:contextualSpacing/>
        <w:jc w:val="both"/>
        <w:textAlignment w:val="auto"/>
        <w:rPr>
          <w:rFonts w:ascii="仿宋_GB2312" w:eastAsia="仿宋_GB2312"/>
          <w:b/>
          <w:kern w:val="2"/>
          <w:sz w:val="32"/>
          <w:szCs w:val="32"/>
          <w:highlight w:val="none"/>
          <w:lang w:eastAsia="zh-CN" w:bidi="ar-SA"/>
        </w:rPr>
      </w:pPr>
      <w:r>
        <w:rPr>
          <w:rFonts w:hint="eastAsia" w:ascii="仿宋_GB2312" w:eastAsia="仿宋_GB2312"/>
          <w:color w:val="000000"/>
          <w:sz w:val="32"/>
          <w:szCs w:val="32"/>
          <w:highlight w:val="none"/>
        </w:rPr>
        <w:t>为</w:t>
      </w:r>
      <w:r>
        <w:rPr>
          <w:rFonts w:hint="eastAsia" w:ascii="仿宋_GB2312" w:eastAsia="仿宋_GB2312"/>
          <w:color w:val="000000"/>
          <w:sz w:val="32"/>
          <w:szCs w:val="32"/>
          <w:highlight w:val="none"/>
          <w:lang w:eastAsia="zh-CN"/>
        </w:rPr>
        <w:t>支持企业数字化转型</w:t>
      </w:r>
      <w:r>
        <w:rPr>
          <w:rFonts w:hint="eastAsia" w:ascii="仿宋_GB2312" w:eastAsia="仿宋_GB2312"/>
          <w:color w:val="000000"/>
          <w:sz w:val="32"/>
          <w:szCs w:val="32"/>
          <w:highlight w:val="none"/>
        </w:rPr>
        <w:t>，根据</w:t>
      </w:r>
      <w:r>
        <w:rPr>
          <w:rFonts w:hint="eastAsia" w:ascii="仿宋_GB2312" w:hAnsi="仿宋" w:eastAsia="仿宋_GB2312"/>
          <w:kern w:val="0"/>
          <w:sz w:val="32"/>
          <w:szCs w:val="32"/>
          <w:highlight w:val="none"/>
        </w:rPr>
        <w:t>《</w:t>
      </w:r>
      <w:r>
        <w:rPr>
          <w:rFonts w:hint="eastAsia" w:ascii="仿宋_GB2312" w:eastAsia="仿宋_GB2312"/>
          <w:color w:val="000000"/>
          <w:sz w:val="32"/>
          <w:szCs w:val="32"/>
          <w:highlight w:val="none"/>
          <w:lang w:eastAsia="zh-CN"/>
        </w:rPr>
        <w:t>南山区促进产业高质量发展专项资金管理办法</w:t>
      </w:r>
      <w:r>
        <w:rPr>
          <w:rFonts w:hint="eastAsia" w:ascii="仿宋_GB2312" w:hAnsi="仿宋" w:eastAsia="仿宋_GB2312"/>
          <w:kern w:val="0"/>
          <w:sz w:val="32"/>
          <w:szCs w:val="32"/>
          <w:highlight w:val="none"/>
        </w:rPr>
        <w:t>》</w:t>
      </w:r>
      <w:r>
        <w:rPr>
          <w:rFonts w:hint="eastAsia" w:ascii="仿宋_GB2312" w:hAnsi="仿宋" w:eastAsia="仿宋_GB2312"/>
          <w:kern w:val="0"/>
          <w:sz w:val="32"/>
          <w:szCs w:val="32"/>
          <w:highlight w:val="none"/>
          <w:lang w:eastAsia="zh-CN"/>
        </w:rPr>
        <w:t>和</w:t>
      </w:r>
      <w:r>
        <w:rPr>
          <w:rFonts w:hint="eastAsia" w:ascii="仿宋_GB2312" w:hAnsi="仿宋" w:eastAsia="仿宋_GB2312"/>
          <w:kern w:val="0"/>
          <w:sz w:val="32"/>
          <w:szCs w:val="32"/>
          <w:highlight w:val="none"/>
        </w:rPr>
        <w:t>《</w:t>
      </w:r>
      <w:bookmarkStart w:id="0" w:name="_Toc15490"/>
      <w:bookmarkStart w:id="1" w:name="_Toc19915"/>
      <w:bookmarkStart w:id="2" w:name="_Toc20720"/>
      <w:bookmarkStart w:id="3" w:name="_Toc23801"/>
      <w:bookmarkStart w:id="4" w:name="_Toc1563225703"/>
      <w:bookmarkStart w:id="5" w:name="_Toc4663"/>
      <w:bookmarkStart w:id="6" w:name="_Toc32239"/>
      <w:bookmarkStart w:id="7" w:name="_Toc21320"/>
      <w:bookmarkStart w:id="8" w:name="_Toc25022"/>
      <w:bookmarkStart w:id="9" w:name="_Toc17349"/>
      <w:bookmarkStart w:id="10" w:name="_Toc5471"/>
      <w:bookmarkStart w:id="11" w:name="_Toc7925"/>
      <w:bookmarkStart w:id="12" w:name="_Toc27806"/>
      <w:bookmarkStart w:id="13" w:name="_Toc23549"/>
      <w:bookmarkStart w:id="14" w:name="_Toc29248"/>
      <w:bookmarkStart w:id="15" w:name="_Toc2378"/>
      <w:bookmarkStart w:id="16" w:name="_Toc10587"/>
      <w:bookmarkStart w:id="17" w:name="_Toc31686"/>
      <w:bookmarkStart w:id="18" w:name="_Toc21891"/>
      <w:r>
        <w:rPr>
          <w:rFonts w:hint="eastAsia" w:ascii="仿宋_GB2312" w:eastAsia="仿宋_GB2312"/>
          <w:color w:val="000000"/>
          <w:sz w:val="32"/>
          <w:szCs w:val="32"/>
          <w:highlight w:val="none"/>
          <w:lang w:eastAsia="zh-CN"/>
        </w:rPr>
        <w:t>南山区促进重点服务业发展专项扶持措施</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hint="eastAsia" w:ascii="仿宋_GB2312" w:hAnsi="仿宋" w:eastAsia="仿宋_GB2312"/>
          <w:kern w:val="0"/>
          <w:sz w:val="32"/>
          <w:szCs w:val="32"/>
          <w:highlight w:val="none"/>
        </w:rPr>
        <w:t>》</w:t>
      </w:r>
      <w:r>
        <w:rPr>
          <w:rFonts w:hint="eastAsia" w:ascii="仿宋_GB2312" w:eastAsia="仿宋_GB2312"/>
          <w:color w:val="000000"/>
          <w:sz w:val="32"/>
          <w:szCs w:val="32"/>
          <w:highlight w:val="none"/>
        </w:rPr>
        <w:t>，制定本操作规程。</w:t>
      </w:r>
    </w:p>
    <w:p>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0" w:firstLineChars="200"/>
        <w:textAlignment w:val="auto"/>
        <w:outlineLvl w:val="0"/>
        <w:rPr>
          <w:rFonts w:hint="eastAsia" w:ascii="黑体" w:hAnsi="黑体" w:eastAsia="黑体"/>
          <w:bCs/>
          <w:kern w:val="2"/>
          <w:sz w:val="32"/>
          <w:szCs w:val="32"/>
          <w:highlight w:val="none"/>
          <w:lang w:eastAsia="zh-CN" w:bidi="ar-SA"/>
        </w:rPr>
      </w:pPr>
      <w:r>
        <w:rPr>
          <w:rFonts w:hint="eastAsia" w:ascii="黑体" w:hAnsi="黑体" w:eastAsia="黑体"/>
          <w:bCs/>
          <w:kern w:val="2"/>
          <w:sz w:val="32"/>
          <w:szCs w:val="32"/>
          <w:highlight w:val="none"/>
          <w:lang w:eastAsia="zh-CN" w:bidi="ar-SA"/>
        </w:rPr>
        <w:t>政策内容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对上年度营收达到一定规模的重点服务业企业，通过采购重点服务商云服务或工业互联网服务推进企业数字化转型的，按照不超过经审计的实际投入金额的30%分档给予资助，每家企业每年资助额最高100万元。本条执行资金总量控制。</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黑体" w:eastAsia="黑体"/>
          <w:sz w:val="32"/>
          <w:szCs w:val="32"/>
          <w:highlight w:val="none"/>
        </w:rPr>
      </w:pPr>
      <w:r>
        <w:rPr>
          <w:rFonts w:hint="eastAsia" w:ascii="黑体" w:eastAsia="黑体"/>
          <w:sz w:val="32"/>
          <w:szCs w:val="32"/>
          <w:highlight w:val="none"/>
        </w:rPr>
        <w:t>二、资助方式</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本</w:t>
      </w:r>
      <w:r>
        <w:rPr>
          <w:rFonts w:hint="eastAsia" w:ascii="仿宋_GB2312" w:hAnsi="Times New Roman" w:eastAsia="仿宋_GB2312" w:cs="Times New Roman"/>
          <w:color w:val="auto"/>
          <w:sz w:val="32"/>
          <w:szCs w:val="32"/>
          <w:highlight w:val="none"/>
          <w:lang w:eastAsia="zh-CN"/>
        </w:rPr>
        <w:t>项资助属于核准类项目，金额受年度预算总额控制。资助资金的安排使用坚持公平、公开、公正的原则，实行自愿申报、科学决策和绩效评估的管理制度，采取事后补贴制。</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0"/>
        <w:rPr>
          <w:rFonts w:ascii="仿宋_GB2312" w:eastAsia="仿宋_GB2312"/>
          <w:sz w:val="32"/>
          <w:szCs w:val="32"/>
          <w:highlight w:val="none"/>
        </w:rPr>
      </w:pPr>
      <w:r>
        <w:rPr>
          <w:rFonts w:hint="eastAsia" w:ascii="黑体" w:eastAsia="黑体"/>
          <w:sz w:val="32"/>
          <w:szCs w:val="32"/>
          <w:highlight w:val="none"/>
        </w:rPr>
        <w:t>三、资助标准</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default" w:ascii="仿宋_GB2312" w:eastAsia="仿宋_GB2312" w:cs="Times New Roman"/>
          <w:b w:val="0"/>
          <w:bCs w:val="0"/>
          <w:color w:val="000000"/>
          <w:sz w:val="32"/>
          <w:szCs w:val="32"/>
          <w:highlight w:val="none"/>
          <w:lang w:val="en-US" w:eastAsia="zh-CN"/>
        </w:rPr>
      </w:pPr>
      <w:r>
        <w:rPr>
          <w:rFonts w:hint="eastAsia" w:ascii="仿宋_GB2312" w:eastAsia="仿宋_GB2312"/>
          <w:color w:val="auto"/>
          <w:sz w:val="32"/>
          <w:szCs w:val="32"/>
          <w:highlight w:val="none"/>
          <w:lang w:eastAsia="zh-CN"/>
        </w:rPr>
        <w:t>（一）</w:t>
      </w:r>
      <w:r>
        <w:rPr>
          <w:rFonts w:hint="eastAsia" w:ascii="仿宋_GB2312" w:hAnsi="仿宋_GB2312" w:eastAsia="仿宋_GB2312" w:cs="仿宋_GB2312"/>
          <w:sz w:val="32"/>
          <w:szCs w:val="32"/>
          <w:highlight w:val="none"/>
          <w:lang w:eastAsia="zh-CN"/>
        </w:rPr>
        <w:t>采购重点供应商云服务或工业互联网服务推进企业数字化转型的服务业企业，</w:t>
      </w:r>
      <w:r>
        <w:rPr>
          <w:rFonts w:hint="eastAsia" w:ascii="仿宋_GB2312" w:eastAsia="仿宋_GB2312"/>
          <w:color w:val="auto"/>
          <w:sz w:val="32"/>
          <w:szCs w:val="32"/>
          <w:highlight w:val="none"/>
          <w:lang w:eastAsia="zh-CN"/>
        </w:rPr>
        <w:t>按照不超过经审计的实际投入金额的</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lang w:eastAsia="zh-CN"/>
        </w:rPr>
        <w:t>0%给予资助。上年度</w:t>
      </w:r>
      <w:r>
        <w:rPr>
          <w:rFonts w:hint="eastAsia" w:ascii="仿宋_GB2312" w:eastAsia="仿宋_GB2312"/>
          <w:color w:val="auto"/>
          <w:sz w:val="32"/>
          <w:szCs w:val="32"/>
          <w:highlight w:val="none"/>
          <w:lang w:val="en-US" w:eastAsia="zh-CN"/>
        </w:rPr>
        <w:t>1-11月</w:t>
      </w:r>
      <w:r>
        <w:rPr>
          <w:rFonts w:hint="eastAsia" w:ascii="仿宋_GB2312" w:eastAsia="仿宋_GB2312"/>
          <w:color w:val="auto"/>
          <w:sz w:val="32"/>
          <w:szCs w:val="32"/>
          <w:highlight w:val="none"/>
          <w:lang w:eastAsia="zh-CN"/>
        </w:rPr>
        <w:t>营收</w:t>
      </w:r>
      <w:r>
        <w:rPr>
          <w:rFonts w:hint="eastAsia" w:ascii="仿宋_GB2312" w:eastAsia="仿宋_GB2312"/>
          <w:color w:val="auto"/>
          <w:sz w:val="32"/>
          <w:szCs w:val="32"/>
          <w:highlight w:val="none"/>
          <w:lang w:val="en-US" w:eastAsia="zh-CN"/>
        </w:rPr>
        <w:t>5亿（含），10亿元以下</w:t>
      </w:r>
      <w:r>
        <w:rPr>
          <w:rFonts w:hint="eastAsia" w:ascii="仿宋_GB2312" w:eastAsia="仿宋_GB2312"/>
          <w:color w:val="auto"/>
          <w:sz w:val="32"/>
          <w:szCs w:val="32"/>
          <w:highlight w:val="none"/>
          <w:lang w:eastAsia="zh-CN"/>
        </w:rPr>
        <w:t>的，资助金额每年最高</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lang w:eastAsia="zh-CN"/>
        </w:rPr>
        <w:t>0万元；上年度</w:t>
      </w:r>
      <w:r>
        <w:rPr>
          <w:rFonts w:hint="eastAsia" w:ascii="仿宋_GB2312" w:eastAsia="仿宋_GB2312"/>
          <w:color w:val="auto"/>
          <w:sz w:val="32"/>
          <w:szCs w:val="32"/>
          <w:highlight w:val="none"/>
          <w:lang w:val="en-US" w:eastAsia="zh-CN"/>
        </w:rPr>
        <w:t>1-11月</w:t>
      </w:r>
      <w:r>
        <w:rPr>
          <w:rFonts w:hint="eastAsia" w:ascii="仿宋_GB2312" w:eastAsia="仿宋_GB2312"/>
          <w:color w:val="auto"/>
          <w:sz w:val="32"/>
          <w:szCs w:val="32"/>
          <w:highlight w:val="none"/>
          <w:lang w:eastAsia="zh-CN"/>
        </w:rPr>
        <w:t>营收</w:t>
      </w:r>
      <w:r>
        <w:rPr>
          <w:rFonts w:hint="eastAsia" w:ascii="仿宋_GB2312" w:eastAsia="仿宋_GB2312"/>
          <w:color w:val="auto"/>
          <w:sz w:val="32"/>
          <w:szCs w:val="32"/>
          <w:highlight w:val="none"/>
          <w:lang w:val="en-US" w:eastAsia="zh-CN"/>
        </w:rPr>
        <w:t>10亿元（含）以上，20亿元以下</w:t>
      </w:r>
      <w:r>
        <w:rPr>
          <w:rFonts w:hint="eastAsia" w:ascii="仿宋_GB2312" w:eastAsia="仿宋_GB2312"/>
          <w:color w:val="auto"/>
          <w:sz w:val="32"/>
          <w:szCs w:val="32"/>
          <w:highlight w:val="none"/>
          <w:lang w:eastAsia="zh-CN"/>
        </w:rPr>
        <w:t>的，资助金额每年最高</w:t>
      </w:r>
      <w:r>
        <w:rPr>
          <w:rFonts w:hint="eastAsia" w:ascii="仿宋_GB2312" w:eastAsia="仿宋_GB2312"/>
          <w:color w:val="auto"/>
          <w:sz w:val="32"/>
          <w:szCs w:val="32"/>
          <w:highlight w:val="none"/>
          <w:lang w:val="en-US" w:eastAsia="zh-CN"/>
        </w:rPr>
        <w:t>50</w:t>
      </w:r>
      <w:r>
        <w:rPr>
          <w:rFonts w:hint="eastAsia" w:ascii="仿宋_GB2312" w:eastAsia="仿宋_GB2312"/>
          <w:color w:val="auto"/>
          <w:sz w:val="32"/>
          <w:szCs w:val="32"/>
          <w:highlight w:val="none"/>
          <w:lang w:eastAsia="zh-CN"/>
        </w:rPr>
        <w:t>万元；上年度</w:t>
      </w:r>
      <w:r>
        <w:rPr>
          <w:rFonts w:hint="eastAsia" w:ascii="仿宋_GB2312" w:eastAsia="仿宋_GB2312"/>
          <w:color w:val="auto"/>
          <w:sz w:val="32"/>
          <w:szCs w:val="32"/>
          <w:highlight w:val="none"/>
          <w:lang w:val="en-US" w:eastAsia="zh-CN"/>
        </w:rPr>
        <w:t>1-11月</w:t>
      </w:r>
      <w:r>
        <w:rPr>
          <w:rFonts w:hint="eastAsia" w:ascii="仿宋_GB2312" w:eastAsia="仿宋_GB2312"/>
          <w:color w:val="auto"/>
          <w:sz w:val="32"/>
          <w:szCs w:val="32"/>
          <w:highlight w:val="none"/>
          <w:lang w:eastAsia="zh-CN"/>
        </w:rPr>
        <w:t>营收</w:t>
      </w:r>
      <w:r>
        <w:rPr>
          <w:rFonts w:hint="eastAsia" w:ascii="仿宋_GB2312" w:eastAsia="仿宋_GB2312"/>
          <w:color w:val="auto"/>
          <w:sz w:val="32"/>
          <w:szCs w:val="32"/>
          <w:highlight w:val="none"/>
          <w:lang w:val="en-US" w:eastAsia="zh-CN"/>
        </w:rPr>
        <w:t>20亿元（含）以上的</w:t>
      </w:r>
      <w:r>
        <w:rPr>
          <w:rFonts w:hint="eastAsia" w:ascii="仿宋_GB2312" w:eastAsia="仿宋_GB2312"/>
          <w:color w:val="auto"/>
          <w:sz w:val="32"/>
          <w:szCs w:val="32"/>
          <w:highlight w:val="none"/>
          <w:lang w:eastAsia="zh-CN"/>
        </w:rPr>
        <w:t>，资助金额每年最高</w:t>
      </w: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lang w:eastAsia="zh-CN"/>
        </w:rPr>
        <w:t>0万元。</w:t>
      </w:r>
      <w:r>
        <w:rPr>
          <w:rFonts w:hint="eastAsia" w:ascii="仿宋_GB2312" w:hAnsi="仿宋_GB2312" w:eastAsia="仿宋_GB2312" w:cs="仿宋_GB2312"/>
          <w:sz w:val="32"/>
          <w:szCs w:val="32"/>
          <w:highlight w:val="none"/>
          <w:lang w:eastAsia="zh-CN"/>
        </w:rPr>
        <w:t>申请项目合同数不超过</w:t>
      </w:r>
      <w:r>
        <w:rPr>
          <w:rFonts w:hint="eastAsia" w:ascii="仿宋_GB2312" w:hAnsi="仿宋_GB2312" w:eastAsia="仿宋_GB2312" w:cs="仿宋_GB2312"/>
          <w:sz w:val="32"/>
          <w:szCs w:val="32"/>
          <w:highlight w:val="none"/>
          <w:lang w:val="en-US" w:eastAsia="zh-CN"/>
        </w:rPr>
        <w:t>5个。</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both"/>
        <w:textAlignment w:val="auto"/>
        <w:rPr>
          <w:rFonts w:hint="default" w:ascii="仿宋_GB2312" w:hAnsi="Calibri" w:eastAsia="仿宋_GB2312" w:cs="Times New Roman"/>
          <w:color w:val="000000"/>
          <w:sz w:val="32"/>
          <w:szCs w:val="32"/>
          <w:lang w:val="en-US" w:eastAsia="zh-CN"/>
        </w:rPr>
      </w:pPr>
      <w:r>
        <w:rPr>
          <w:rFonts w:hint="eastAsia" w:ascii="仿宋_GB2312" w:hAnsi="Calibri" w:eastAsia="仿宋_GB2312" w:cs="Times New Roman"/>
          <w:color w:val="000000"/>
          <w:sz w:val="32"/>
          <w:szCs w:val="32"/>
          <w:lang w:eastAsia="zh-CN"/>
        </w:rPr>
        <w:t>（二）企业</w:t>
      </w:r>
      <w:r>
        <w:rPr>
          <w:rFonts w:hint="eastAsia" w:ascii="仿宋_GB2312" w:hAnsi="Calibri" w:eastAsia="仿宋_GB2312" w:cs="Times New Roman"/>
          <w:color w:val="000000"/>
          <w:sz w:val="32"/>
          <w:szCs w:val="32"/>
          <w:lang w:val="en-US" w:eastAsia="zh-CN"/>
        </w:rPr>
        <w:t>1-11月营收增速10%（含）以上的，资助比例由20%提升至30%。</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both"/>
        <w:textAlignment w:val="auto"/>
        <w:rPr>
          <w:rFonts w:hint="eastAsia"/>
          <w:lang w:eastAsia="zh-CN"/>
        </w:rPr>
      </w:pPr>
      <w:r>
        <w:rPr>
          <w:rFonts w:hint="eastAsia" w:ascii="仿宋_GB2312" w:hAnsi="Calibri" w:eastAsia="仿宋_GB2312" w:cs="Times New Roman"/>
          <w:color w:val="000000"/>
          <w:sz w:val="32"/>
          <w:szCs w:val="32"/>
          <w:lang w:eastAsia="zh-CN"/>
        </w:rPr>
        <w:t>（三）供应商企业有纳入</w:t>
      </w:r>
      <w:r>
        <w:rPr>
          <w:rFonts w:hint="eastAsia" w:ascii="仿宋_GB2312" w:eastAsia="仿宋_GB2312"/>
          <w:color w:val="auto"/>
          <w:sz w:val="32"/>
          <w:szCs w:val="32"/>
          <w:highlight w:val="none"/>
          <w:lang w:eastAsia="zh-CN"/>
        </w:rPr>
        <w:t>《广东省工业互联网产业生态供给资源池暨上云上平台供应商》或《深圳市制造业数字化转型咨询诊断备案服务商名单》，或具备同等技术标准的服务商</w:t>
      </w:r>
      <w:r>
        <w:rPr>
          <w:rFonts w:hint="eastAsia" w:ascii="仿宋_GB2312" w:hAnsi="Calibri" w:eastAsia="仿宋_GB2312"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both"/>
        <w:textAlignment w:val="auto"/>
        <w:rPr>
          <w:rFonts w:hint="eastAsia" w:ascii="仿宋_GB2312" w:hAnsi="Calibri" w:eastAsia="仿宋_GB2312" w:cs="Times New Roman"/>
          <w:color w:val="000000"/>
          <w:sz w:val="32"/>
          <w:szCs w:val="32"/>
          <w:lang w:val="en-US" w:eastAsia="zh-CN"/>
        </w:rPr>
      </w:pPr>
      <w:r>
        <w:rPr>
          <w:rFonts w:hint="eastAsia" w:ascii="仿宋_GB2312" w:hAnsi="Calibri" w:eastAsia="仿宋_GB2312" w:cs="Times New Roman"/>
          <w:color w:val="000000"/>
          <w:sz w:val="32"/>
          <w:szCs w:val="32"/>
          <w:lang w:eastAsia="zh-CN"/>
        </w:rPr>
        <w:t>（四）</w:t>
      </w:r>
      <w:r>
        <w:rPr>
          <w:rFonts w:hint="eastAsia" w:ascii="仿宋_GB2312" w:hAnsi="Calibri" w:eastAsia="仿宋_GB2312" w:cs="Times New Roman"/>
          <w:color w:val="000000"/>
          <w:sz w:val="32"/>
          <w:szCs w:val="32"/>
        </w:rPr>
        <w:t>云服务</w:t>
      </w:r>
      <w:r>
        <w:rPr>
          <w:rFonts w:hint="eastAsia" w:ascii="仿宋_GB2312" w:hAnsi="Calibri" w:eastAsia="仿宋_GB2312" w:cs="Times New Roman"/>
          <w:color w:val="000000"/>
          <w:sz w:val="32"/>
          <w:szCs w:val="32"/>
          <w:lang w:eastAsia="zh-CN"/>
        </w:rPr>
        <w:t>和工业互联网服务以工业和信息化部制定的《软件和信息技术服务业统计调查制度》相关说明为准，云服务为附录第二项软件和信息技术服务业业务分类表中</w:t>
      </w:r>
      <w:r>
        <w:rPr>
          <w:rFonts w:hint="eastAsia" w:ascii="仿宋_GB2312" w:hAnsi="Calibri" w:eastAsia="仿宋_GB2312" w:cs="Times New Roman"/>
          <w:color w:val="000000"/>
          <w:sz w:val="32"/>
          <w:szCs w:val="32"/>
          <w:lang w:val="en-US" w:eastAsia="zh-CN"/>
        </w:rPr>
        <w:t>2.5云服务、2.9工业互联网平台服务和3.5安全云服务，工业互联网服务为附录第五项工业互联网相关软件与信息技术服务业务分类表中全部分类。</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both"/>
        <w:textAlignment w:val="auto"/>
        <w:rPr>
          <w:rFonts w:hint="eastAsia" w:ascii="仿宋_GB2312" w:hAnsi="Calibri" w:eastAsia="仿宋_GB2312" w:cs="Times New Roman"/>
          <w:color w:val="000000"/>
          <w:sz w:val="32"/>
          <w:szCs w:val="32"/>
          <w:lang w:val="en-US" w:eastAsia="zh-CN"/>
        </w:rPr>
      </w:pPr>
      <w:r>
        <w:rPr>
          <w:rFonts w:hint="eastAsia" w:ascii="仿宋_GB2312" w:hAnsi="Calibri" w:eastAsia="仿宋_GB2312" w:cs="Times New Roman"/>
          <w:color w:val="000000"/>
          <w:sz w:val="32"/>
          <w:szCs w:val="32"/>
          <w:lang w:val="en-US" w:eastAsia="zh-CN"/>
        </w:rPr>
        <w:t>（五）如当年1-12月营收低于1-11月营收，则按1-12月营收计算。</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both"/>
        <w:textAlignment w:val="auto"/>
        <w:rPr>
          <w:rFonts w:hint="eastAsia" w:ascii="仿宋_GB2312" w:hAnsi="Times New Roman" w:eastAsia="仿宋_GB2312" w:cs="宋体"/>
          <w:color w:val="auto"/>
          <w:sz w:val="32"/>
          <w:szCs w:val="32"/>
          <w:highlight w:val="none"/>
          <w:lang w:eastAsia="zh-CN"/>
        </w:rPr>
      </w:pPr>
      <w:r>
        <w:rPr>
          <w:rFonts w:hint="eastAsia" w:ascii="仿宋_GB2312" w:hAnsi="Calibri" w:eastAsia="仿宋_GB2312" w:cs="Times New Roman"/>
          <w:color w:val="000000"/>
          <w:sz w:val="32"/>
          <w:szCs w:val="32"/>
          <w:lang w:val="en-US" w:eastAsia="zh-CN"/>
        </w:rPr>
        <w:t>（六）本政策对</w:t>
      </w:r>
      <w:r>
        <w:rPr>
          <w:rFonts w:hint="eastAsia" w:ascii="仿宋_GB2312" w:eastAsia="仿宋_GB2312"/>
          <w:sz w:val="32"/>
          <w:szCs w:val="32"/>
          <w:lang w:val="en-US" w:eastAsia="zh-CN"/>
        </w:rPr>
        <w:t>2023年1月1日-2023年12月31日期间</w:t>
      </w:r>
      <w:r>
        <w:rPr>
          <w:rFonts w:hint="eastAsia" w:ascii="仿宋_GB2312" w:hAnsi="Calibri" w:eastAsia="仿宋_GB2312" w:cs="Times New Roman"/>
          <w:color w:val="000000"/>
          <w:sz w:val="32"/>
          <w:szCs w:val="32"/>
          <w:lang w:val="en-US" w:eastAsia="zh-CN"/>
        </w:rPr>
        <w:t>企业采购</w:t>
      </w:r>
      <w:r>
        <w:rPr>
          <w:rFonts w:hint="eastAsia" w:ascii="仿宋_GB2312" w:eastAsia="仿宋_GB2312"/>
          <w:sz w:val="32"/>
          <w:szCs w:val="32"/>
        </w:rPr>
        <w:t>云服务或工业互联网服务</w:t>
      </w:r>
      <w:r>
        <w:rPr>
          <w:rFonts w:hint="eastAsia" w:ascii="仿宋_GB2312" w:eastAsia="仿宋_GB2312"/>
          <w:sz w:val="32"/>
          <w:szCs w:val="32"/>
          <w:lang w:eastAsia="zh-CN"/>
        </w:rPr>
        <w:t>产生费用给予资助</w:t>
      </w:r>
      <w:r>
        <w:rPr>
          <w:rFonts w:hint="eastAsia" w:ascii="仿宋_GB2312" w:hAnsi="Calibri"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0"/>
        <w:rPr>
          <w:rFonts w:ascii="黑体" w:eastAsia="黑体"/>
          <w:sz w:val="32"/>
          <w:szCs w:val="32"/>
          <w:highlight w:val="none"/>
        </w:rPr>
      </w:pPr>
      <w:r>
        <w:rPr>
          <w:rFonts w:hint="eastAsia" w:ascii="黑体" w:eastAsia="黑体"/>
          <w:sz w:val="32"/>
          <w:szCs w:val="32"/>
          <w:highlight w:val="none"/>
        </w:rPr>
        <w:t>四、申请条件</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1"/>
        <w:rPr>
          <w:rFonts w:ascii="仿宋_GB2312" w:eastAsia="仿宋_GB2312"/>
          <w:sz w:val="32"/>
          <w:szCs w:val="32"/>
          <w:highlight w:val="none"/>
        </w:rPr>
      </w:pPr>
      <w:r>
        <w:rPr>
          <w:rFonts w:hint="eastAsia" w:ascii="仿宋_GB2312" w:eastAsia="仿宋_GB2312"/>
          <w:sz w:val="32"/>
          <w:szCs w:val="32"/>
          <w:highlight w:val="none"/>
        </w:rPr>
        <w:t>（一）申请本项资金资助的企业应符合以下</w:t>
      </w:r>
      <w:r>
        <w:rPr>
          <w:rFonts w:hint="eastAsia" w:ascii="仿宋_GB2312" w:eastAsia="仿宋_GB2312"/>
          <w:color w:val="auto"/>
          <w:sz w:val="32"/>
          <w:szCs w:val="32"/>
          <w:highlight w:val="none"/>
          <w:lang w:eastAsia="zh-CN"/>
        </w:rPr>
        <w:t>基本</w:t>
      </w:r>
      <w:r>
        <w:rPr>
          <w:rFonts w:hint="eastAsia" w:ascii="仿宋_GB2312" w:eastAsia="仿宋_GB2312"/>
          <w:color w:val="auto"/>
          <w:sz w:val="32"/>
          <w:szCs w:val="32"/>
          <w:highlight w:val="none"/>
        </w:rPr>
        <w:t>条件</w:t>
      </w:r>
      <w:r>
        <w:rPr>
          <w:rFonts w:hint="eastAsia" w:ascii="仿宋_GB2312" w:eastAsia="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lang w:eastAsia="zh-CN"/>
        </w:rPr>
        <w:t>履行统计数据申报义务、</w:t>
      </w:r>
      <w:r>
        <w:rPr>
          <w:rFonts w:hint="eastAsia" w:ascii="仿宋_GB2312" w:eastAsia="仿宋_GB2312"/>
          <w:color w:val="auto"/>
          <w:sz w:val="32"/>
          <w:szCs w:val="32"/>
          <w:highlight w:val="none"/>
        </w:rPr>
        <w:t>守法经营、诚实守信，有规范的财务制度</w:t>
      </w:r>
      <w:r>
        <w:rPr>
          <w:rFonts w:hint="eastAsia" w:ascii="仿宋_GB2312" w:eastAsia="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_GB2312" w:hAnsi="Times New Roman" w:eastAsia="仿宋_GB2312" w:cs="Times New Roman"/>
          <w:color w:val="auto"/>
          <w:sz w:val="32"/>
          <w:szCs w:val="32"/>
          <w:highlight w:val="none"/>
          <w:lang w:val="en-US" w:eastAsia="zh-CN"/>
        </w:rPr>
      </w:pPr>
      <w:r>
        <w:rPr>
          <w:rFonts w:hint="eastAsia" w:ascii="仿宋_GB2312" w:eastAsia="仿宋_GB2312" w:cs="Times New Roman"/>
          <w:color w:val="auto"/>
          <w:sz w:val="32"/>
          <w:szCs w:val="32"/>
          <w:highlight w:val="none"/>
          <w:lang w:val="en-US" w:eastAsia="zh-CN"/>
        </w:rPr>
        <w:t>2、本项目不得与前海合作区制定的同类性质扶持政策重复申报；</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_GB2312" w:hAnsi="Times New Roman" w:eastAsia="仿宋_GB2312" w:cs="Times New Roman"/>
          <w:color w:val="auto"/>
          <w:sz w:val="32"/>
          <w:szCs w:val="32"/>
          <w:highlight w:val="none"/>
          <w:lang w:val="en-US" w:eastAsia="zh-CN"/>
        </w:rPr>
      </w:pPr>
      <w:r>
        <w:rPr>
          <w:rFonts w:hint="eastAsia" w:ascii="仿宋_GB2312" w:eastAsia="仿宋_GB2312" w:cs="Times New Roman"/>
          <w:color w:val="auto"/>
          <w:sz w:val="32"/>
          <w:szCs w:val="32"/>
          <w:highlight w:val="none"/>
          <w:lang w:val="en-US" w:eastAsia="zh-CN"/>
        </w:rPr>
        <w:t>3、</w:t>
      </w:r>
      <w:r>
        <w:rPr>
          <w:rFonts w:hint="eastAsia" w:ascii="仿宋_GB2312" w:hAnsi="Times New Roman" w:eastAsia="仿宋_GB2312" w:cs="Times New Roman"/>
          <w:color w:val="auto"/>
          <w:sz w:val="32"/>
          <w:szCs w:val="32"/>
          <w:highlight w:val="none"/>
          <w:lang w:val="en-US" w:eastAsia="zh-CN"/>
        </w:rPr>
        <w:t>应积极配合区委、区政府相关工作。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_GB2312" w:hAnsi="Times New Roman" w:eastAsia="仿宋_GB2312" w:cs="Times New Roman"/>
          <w:color w:val="auto"/>
          <w:sz w:val="32"/>
          <w:szCs w:val="32"/>
          <w:highlight w:val="none"/>
          <w:lang w:val="en-US" w:eastAsia="zh-CN"/>
        </w:rPr>
      </w:pPr>
      <w:r>
        <w:rPr>
          <w:rFonts w:hint="eastAsia" w:ascii="仿宋_GB2312" w:eastAsia="仿宋_GB2312" w:cs="Times New Roman"/>
          <w:color w:val="auto"/>
          <w:sz w:val="32"/>
          <w:szCs w:val="32"/>
          <w:highlight w:val="none"/>
          <w:lang w:val="en-US" w:eastAsia="zh-CN"/>
        </w:rPr>
        <w:t>4、</w:t>
      </w:r>
      <w:r>
        <w:rPr>
          <w:rFonts w:hint="eastAsia" w:ascii="Times New Roman" w:hAnsi="Times New Roman" w:eastAsia="仿宋_GB2312"/>
          <w:sz w:val="32"/>
          <w:szCs w:val="32"/>
          <w:highlight w:val="none"/>
          <w:lang w:val="en-US" w:eastAsia="zh-CN"/>
        </w:rPr>
        <w:t>统计关系在南山区的规上</w:t>
      </w:r>
      <w:r>
        <w:rPr>
          <w:rFonts w:hint="eastAsia" w:eastAsia="仿宋_GB2312"/>
          <w:sz w:val="32"/>
          <w:szCs w:val="32"/>
          <w:highlight w:val="none"/>
          <w:lang w:val="en-US" w:eastAsia="zh-CN"/>
        </w:rPr>
        <w:t>企业，并且</w:t>
      </w:r>
      <w:r>
        <w:rPr>
          <w:rFonts w:hint="eastAsia" w:ascii="仿宋_GB2312" w:eastAsia="仿宋_GB2312" w:cs="Times New Roman"/>
          <w:color w:val="auto"/>
          <w:sz w:val="32"/>
          <w:szCs w:val="32"/>
          <w:highlight w:val="none"/>
          <w:lang w:val="en-US" w:eastAsia="zh-CN"/>
        </w:rPr>
        <w:t>属于信息传输、软件和信息技术服务业（不包含电信、广播电视和卫星传输服务，统计代码64-65），租赁和商务服务业（统计代码71-72），科学研究和技术服务业（统计代码73-75），居民服务、修理和其他服务业（统计代码80-82），文化、体育和娱乐业（统计代码86-90）行业之一。</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1"/>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w:t>
      </w:r>
      <w:r>
        <w:rPr>
          <w:rFonts w:hint="eastAsia" w:ascii="仿宋_GB2312" w:eastAsia="仿宋_GB2312" w:cs="Times New Roman"/>
          <w:color w:val="auto"/>
          <w:sz w:val="32"/>
          <w:szCs w:val="32"/>
          <w:highlight w:val="none"/>
          <w:lang w:val="en-US" w:eastAsia="zh-CN"/>
        </w:rPr>
        <w:t>二</w:t>
      </w:r>
      <w:r>
        <w:rPr>
          <w:rFonts w:hint="eastAsia" w:ascii="仿宋_GB2312" w:hAnsi="Times New Roman" w:eastAsia="仿宋_GB2312" w:cs="Times New Roman"/>
          <w:color w:val="auto"/>
          <w:sz w:val="32"/>
          <w:szCs w:val="32"/>
          <w:highlight w:val="none"/>
          <w:lang w:val="en-US" w:eastAsia="zh-CN"/>
        </w:rPr>
        <w:t>）有下列情况之一的，本项目资金不予资助：</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仿宋_GB2312" w:hAnsi="宋体" w:eastAsia="仿宋_GB2312"/>
          <w:sz w:val="32"/>
          <w:szCs w:val="32"/>
          <w:highlight w:val="none"/>
        </w:rPr>
      </w:pPr>
      <w:r>
        <w:rPr>
          <w:rFonts w:ascii="仿宋_GB2312" w:hAnsi="宋体" w:eastAsia="仿宋_GB2312"/>
          <w:sz w:val="32"/>
          <w:szCs w:val="32"/>
          <w:highlight w:val="none"/>
        </w:rPr>
        <w:t>1</w:t>
      </w:r>
      <w:r>
        <w:rPr>
          <w:rFonts w:hint="eastAsia" w:ascii="仿宋_GB2312" w:hAnsi="宋体" w:eastAsia="仿宋_GB2312"/>
          <w:sz w:val="32"/>
          <w:szCs w:val="32"/>
          <w:highlight w:val="none"/>
          <w:lang w:val="en-US" w:eastAsia="zh-CN"/>
        </w:rPr>
        <w:t>.被依法依规纳入严重失信主体名单或失信惩戒措施清单的</w:t>
      </w:r>
      <w:r>
        <w:rPr>
          <w:rFonts w:hint="eastAsia" w:ascii="仿宋_GB2312" w:hAnsi="宋体" w:eastAsia="仿宋_GB2312"/>
          <w:sz w:val="32"/>
          <w:szCs w:val="32"/>
          <w:highlight w:val="none"/>
          <w:lang w:eastAsia="zh-CN"/>
        </w:rPr>
        <w:t>；</w:t>
      </w:r>
      <w:bookmarkStart w:id="19" w:name="_GoBack"/>
      <w:bookmarkEnd w:id="19"/>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仿宋_GB2312" w:hAnsi="ˎ̥" w:eastAsia="仿宋_GB2312" w:cs="宋体"/>
          <w:sz w:val="32"/>
          <w:szCs w:val="32"/>
          <w:highlight w:val="none"/>
          <w:lang w:eastAsia="zh-CN" w:bidi="ar-SA"/>
        </w:rPr>
      </w:pPr>
      <w:r>
        <w:rPr>
          <w:rFonts w:ascii="仿宋_GB2312" w:hAnsi="宋体" w:eastAsia="仿宋_GB2312"/>
          <w:sz w:val="32"/>
          <w:szCs w:val="32"/>
          <w:highlight w:val="none"/>
        </w:rPr>
        <w:t>2</w:t>
      </w:r>
      <w:r>
        <w:rPr>
          <w:rFonts w:hint="eastAsia" w:ascii="仿宋_GB2312" w:hAnsi="宋体" w:eastAsia="仿宋_GB2312"/>
          <w:sz w:val="32"/>
          <w:szCs w:val="32"/>
          <w:highlight w:val="none"/>
          <w:lang w:val="en-US" w:eastAsia="zh-CN"/>
        </w:rPr>
        <w:t>.提出资助申请后，申报主体统计关系发生变化，不再符合申报条件的。</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0"/>
        <w:rPr>
          <w:rFonts w:ascii="黑体" w:eastAsia="黑体"/>
          <w:sz w:val="32"/>
          <w:szCs w:val="32"/>
          <w:highlight w:val="none"/>
        </w:rPr>
      </w:pPr>
      <w:r>
        <w:rPr>
          <w:rFonts w:hint="eastAsia" w:ascii="黑体" w:eastAsia="黑体"/>
          <w:sz w:val="32"/>
          <w:szCs w:val="32"/>
          <w:highlight w:val="none"/>
        </w:rPr>
        <w:t>五、办理流程</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（一）</w:t>
      </w:r>
      <w:r>
        <w:rPr>
          <w:rFonts w:hint="eastAsia" w:ascii="仿宋_GB2312" w:eastAsia="仿宋_GB2312"/>
          <w:sz w:val="32"/>
          <w:szCs w:val="32"/>
          <w:highlight w:val="none"/>
          <w:lang w:eastAsia="zh-CN"/>
        </w:rPr>
        <w:t>登录“i南山企业服务综合平台”（https://www.inanshan.org.c</w:t>
      </w:r>
      <w:r>
        <w:rPr>
          <w:rFonts w:hint="eastAsia" w:ascii="仿宋_GB2312" w:hAnsi="Times New Roman" w:eastAsia="仿宋_GB2312" w:cs="Times New Roman"/>
          <w:sz w:val="32"/>
          <w:szCs w:val="32"/>
          <w:highlight w:val="none"/>
          <w:lang w:eastAsia="zh-CN"/>
        </w:rPr>
        <w:t>n/），在线填写《南山区促进产业高质量发展专项资金——区工业和信息化局分项资金</w:t>
      </w:r>
      <w:r>
        <w:rPr>
          <w:rFonts w:hint="eastAsia" w:ascii="仿宋_GB2312" w:eastAsia="仿宋_GB2312" w:cs="Times New Roman"/>
          <w:sz w:val="32"/>
          <w:szCs w:val="32"/>
          <w:highlight w:val="none"/>
          <w:lang w:val="en-US" w:eastAsia="zh-CN"/>
        </w:rPr>
        <w:t>-</w:t>
      </w:r>
      <w:r>
        <w:rPr>
          <w:rFonts w:hint="eastAsia" w:ascii="仿宋_GB2312" w:eastAsia="仿宋_GB2312" w:cs="Times New Roman"/>
          <w:sz w:val="32"/>
          <w:szCs w:val="32"/>
          <w:highlight w:val="none"/>
          <w:lang w:eastAsia="zh-CN"/>
        </w:rPr>
        <w:t>支持企业数字化转型项目</w:t>
      </w:r>
      <w:r>
        <w:rPr>
          <w:rFonts w:hint="eastAsia" w:ascii="仿宋_GB2312" w:eastAsia="仿宋_GB2312"/>
          <w:sz w:val="32"/>
          <w:szCs w:val="32"/>
          <w:highlight w:val="none"/>
          <w:lang w:eastAsia="zh-CN"/>
        </w:rPr>
        <w:t>》相关申报材料</w:t>
      </w:r>
      <w:r>
        <w:rPr>
          <w:rFonts w:hint="eastAsia" w:ascii="仿宋_GB2312" w:eastAsia="仿宋_GB2312" w:cs="Times New Roman"/>
          <w:color w:val="auto"/>
          <w:kern w:val="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（二）</w:t>
      </w:r>
      <w:r>
        <w:rPr>
          <w:rFonts w:hint="eastAsia" w:ascii="仿宋_GB2312" w:eastAsia="仿宋_GB2312"/>
          <w:sz w:val="32"/>
          <w:szCs w:val="32"/>
          <w:highlight w:val="none"/>
          <w:lang w:eastAsia="zh-CN"/>
        </w:rPr>
        <w:t>区企业发展服务中心受理</w:t>
      </w:r>
      <w:r>
        <w:rPr>
          <w:rFonts w:hint="eastAsia" w:ascii="仿宋_GB2312" w:eastAsia="仿宋_GB2312"/>
          <w:kern w:val="2"/>
          <w:sz w:val="32"/>
          <w:szCs w:val="32"/>
          <w:highlight w:val="none"/>
          <w:lang w:eastAsia="zh-CN"/>
        </w:rPr>
        <w:t>申请，对申报材料进行形式性审核</w:t>
      </w:r>
      <w:r>
        <w:rPr>
          <w:rFonts w:hint="eastAsia" w:ascii="仿宋_GB2312" w:eastAsia="仿宋_GB2312"/>
          <w:sz w:val="32"/>
          <w:szCs w:val="32"/>
          <w:highlight w:val="none"/>
          <w:lang w:eastAsia="zh-CN"/>
        </w:rPr>
        <w:t>，区</w:t>
      </w:r>
      <w:r>
        <w:rPr>
          <w:rFonts w:hint="eastAsia" w:ascii="仿宋_GB2312" w:eastAsia="仿宋_GB2312"/>
          <w:sz w:val="32"/>
          <w:szCs w:val="32"/>
          <w:highlight w:val="none"/>
          <w:lang w:val="en-US" w:eastAsia="zh-CN"/>
        </w:rPr>
        <w:t>工业和信息化</w:t>
      </w:r>
      <w:r>
        <w:rPr>
          <w:rFonts w:hint="eastAsia" w:ascii="仿宋_GB2312" w:eastAsia="仿宋_GB2312"/>
          <w:sz w:val="32"/>
          <w:szCs w:val="32"/>
          <w:highlight w:val="none"/>
          <w:lang w:eastAsia="zh-CN"/>
        </w:rPr>
        <w:t>局复审项目申报材料；</w:t>
      </w:r>
    </w:p>
    <w:p>
      <w:pPr>
        <w:keepNext w:val="0"/>
        <w:keepLines w:val="0"/>
        <w:pageBreakBefore w:val="0"/>
        <w:widowControl w:val="0"/>
        <w:kinsoku/>
        <w:wordWrap/>
        <w:overflowPunct/>
        <w:topLinePunct w:val="0"/>
        <w:autoSpaceDE/>
        <w:autoSpaceDN/>
        <w:bidi w:val="0"/>
        <w:spacing w:before="0" w:after="0" w:line="560" w:lineRule="exact"/>
        <w:ind w:left="0" w:leftChars="0" w:right="0" w:rightChars="0" w:firstLine="640" w:firstLineChars="200"/>
        <w:textAlignment w:val="auto"/>
        <w:outlineLvl w:val="9"/>
        <w:rPr>
          <w:rFonts w:hint="eastAsia" w:ascii="仿宋_GB2312" w:eastAsia="仿宋_GB2312"/>
          <w:sz w:val="32"/>
          <w:szCs w:val="32"/>
          <w:highlight w:val="none"/>
          <w:lang w:eastAsia="zh-CN"/>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三</w:t>
      </w:r>
      <w:r>
        <w:rPr>
          <w:rFonts w:hint="eastAsia" w:ascii="仿宋_GB2312" w:hAnsi="宋体" w:eastAsia="仿宋_GB2312"/>
          <w:color w:val="auto"/>
          <w:sz w:val="32"/>
          <w:szCs w:val="32"/>
          <w:highlight w:val="none"/>
        </w:rPr>
        <w:t>）</w:t>
      </w:r>
      <w:r>
        <w:rPr>
          <w:rFonts w:hint="eastAsia" w:ascii="仿宋_GB2312" w:eastAsia="仿宋_GB2312" w:cs="Times New Roman"/>
          <w:color w:val="auto"/>
          <w:kern w:val="2"/>
          <w:sz w:val="32"/>
          <w:szCs w:val="32"/>
          <w:highlight w:val="none"/>
          <w:lang w:val="en-US" w:eastAsia="zh-CN"/>
        </w:rPr>
        <w:t>区工业和信息化局</w:t>
      </w:r>
      <w:r>
        <w:rPr>
          <w:rFonts w:hint="eastAsia" w:ascii="仿宋_GB2312" w:eastAsia="仿宋_GB2312"/>
          <w:sz w:val="32"/>
          <w:szCs w:val="32"/>
          <w:highlight w:val="none"/>
          <w:lang w:eastAsia="zh-CN"/>
        </w:rPr>
        <w:t>拟定资助计划；</w:t>
      </w:r>
    </w:p>
    <w:p>
      <w:pPr>
        <w:keepNext w:val="0"/>
        <w:keepLines w:val="0"/>
        <w:pageBreakBefore w:val="0"/>
        <w:widowControl w:val="0"/>
        <w:kinsoku/>
        <w:wordWrap/>
        <w:overflowPunct/>
        <w:topLinePunct w:val="0"/>
        <w:autoSpaceDE/>
        <w:autoSpaceDN/>
        <w:bidi w:val="0"/>
        <w:spacing w:before="0" w:after="0" w:line="560" w:lineRule="exact"/>
        <w:ind w:left="0" w:leftChars="0" w:right="0" w:rightChars="0" w:firstLine="640" w:firstLineChars="200"/>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四</w:t>
      </w:r>
      <w:r>
        <w:rPr>
          <w:rFonts w:hint="eastAsia" w:ascii="仿宋_GB2312" w:hAnsi="宋体" w:eastAsia="仿宋_GB2312"/>
          <w:color w:val="auto"/>
          <w:sz w:val="32"/>
          <w:szCs w:val="32"/>
          <w:highlight w:val="none"/>
        </w:rPr>
        <w:t>）</w:t>
      </w:r>
      <w:r>
        <w:rPr>
          <w:rFonts w:hint="eastAsia" w:ascii="仿宋_GB2312" w:eastAsia="仿宋_GB2312"/>
          <w:sz w:val="32"/>
          <w:szCs w:val="32"/>
          <w:highlight w:val="none"/>
          <w:lang w:eastAsia="zh-CN"/>
        </w:rPr>
        <w:t>区统计局对申报主体在地统计开展情况进行核查，</w:t>
      </w:r>
      <w:r>
        <w:rPr>
          <w:rFonts w:ascii="仿宋_GB2312" w:eastAsia="仿宋_GB2312"/>
          <w:sz w:val="32"/>
          <w:szCs w:val="32"/>
          <w:highlight w:val="none"/>
          <w:lang w:eastAsia="zh-CN"/>
        </w:rPr>
        <w:t>区企业发展服务中心组织对申报</w:t>
      </w:r>
      <w:r>
        <w:rPr>
          <w:rFonts w:hint="eastAsia" w:ascii="仿宋_GB2312" w:eastAsia="仿宋_GB2312"/>
          <w:sz w:val="32"/>
          <w:szCs w:val="32"/>
          <w:highlight w:val="none"/>
          <w:lang w:eastAsia="zh-CN"/>
        </w:rPr>
        <w:t>主体</w:t>
      </w:r>
      <w:r>
        <w:rPr>
          <w:rFonts w:ascii="仿宋_GB2312" w:eastAsia="仿宋_GB2312"/>
          <w:sz w:val="32"/>
          <w:szCs w:val="32"/>
          <w:highlight w:val="none"/>
          <w:lang w:eastAsia="zh-CN"/>
        </w:rPr>
        <w:t>的注册情况、不良信用记录等情况进行核查</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spacing w:before="0" w:after="0" w:line="560" w:lineRule="exact"/>
        <w:ind w:left="0" w:leftChars="0" w:right="0" w:rightChars="0" w:firstLine="640" w:firstLineChars="200"/>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五</w:t>
      </w:r>
      <w:r>
        <w:rPr>
          <w:rFonts w:hint="eastAsia" w:ascii="仿宋_GB2312" w:hAnsi="宋体" w:eastAsia="仿宋_GB2312"/>
          <w:color w:val="auto"/>
          <w:sz w:val="32"/>
          <w:szCs w:val="32"/>
          <w:highlight w:val="none"/>
        </w:rPr>
        <w:t>）</w:t>
      </w:r>
      <w:r>
        <w:rPr>
          <w:rFonts w:hint="eastAsia" w:ascii="仿宋_GB2312" w:hAnsi="仿宋_GB2312" w:eastAsia="仿宋_GB2312" w:cs="仿宋_GB2312"/>
          <w:sz w:val="32"/>
          <w:szCs w:val="32"/>
          <w:highlight w:val="none"/>
          <w:lang w:eastAsia="zh-CN"/>
        </w:rPr>
        <w:t>区企业</w:t>
      </w:r>
      <w:r>
        <w:rPr>
          <w:rFonts w:hint="eastAsia" w:ascii="仿宋_GB2312" w:eastAsia="仿宋_GB2312"/>
          <w:sz w:val="32"/>
          <w:szCs w:val="32"/>
          <w:highlight w:val="none"/>
          <w:lang w:eastAsia="zh-CN"/>
        </w:rPr>
        <w:t>发展</w:t>
      </w:r>
      <w:r>
        <w:rPr>
          <w:rFonts w:hint="eastAsia" w:ascii="仿宋_GB2312" w:hAnsi="仿宋_GB2312" w:eastAsia="仿宋_GB2312" w:cs="仿宋_GB2312"/>
          <w:sz w:val="32"/>
          <w:szCs w:val="32"/>
          <w:highlight w:val="none"/>
          <w:lang w:eastAsia="zh-CN"/>
        </w:rPr>
        <w:t>服务中心将拟资助项目向社会公示5个工作日，</w:t>
      </w:r>
      <w:r>
        <w:rPr>
          <w:rFonts w:hint="eastAsia" w:ascii="仿宋_GB2312" w:hAnsi="宋体" w:eastAsia="仿宋_GB2312"/>
          <w:sz w:val="32"/>
          <w:szCs w:val="32"/>
          <w:highlight w:val="none"/>
          <w:lang w:eastAsia="zh-CN"/>
        </w:rPr>
        <w:t>对公示期满，无有效投诉的项目资助计划，区工业和信息化局再按照相应审核程序提交会议审议</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spacing w:before="0" w:after="0" w:line="560" w:lineRule="exact"/>
        <w:ind w:right="0" w:rightChars="0" w:firstLine="640" w:firstLineChars="200"/>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六</w:t>
      </w:r>
      <w:r>
        <w:rPr>
          <w:rFonts w:hint="eastAsia" w:ascii="仿宋_GB2312" w:hAnsi="宋体" w:eastAsia="仿宋_GB2312"/>
          <w:color w:val="auto"/>
          <w:sz w:val="32"/>
          <w:szCs w:val="32"/>
          <w:highlight w:val="none"/>
        </w:rPr>
        <w:t>）</w:t>
      </w:r>
      <w:r>
        <w:rPr>
          <w:rFonts w:hint="eastAsia" w:ascii="仿宋_GB2312" w:eastAsia="仿宋_GB2312"/>
          <w:sz w:val="32"/>
          <w:szCs w:val="32"/>
          <w:highlight w:val="none"/>
          <w:lang w:eastAsia="zh-CN"/>
        </w:rPr>
        <w:t>经审议后，由区</w:t>
      </w:r>
      <w:r>
        <w:rPr>
          <w:rFonts w:hint="eastAsia" w:ascii="仿宋_GB2312" w:eastAsia="仿宋_GB2312"/>
          <w:sz w:val="32"/>
          <w:szCs w:val="32"/>
          <w:highlight w:val="none"/>
          <w:lang w:val="en-US" w:eastAsia="zh-CN"/>
        </w:rPr>
        <w:t>工业和信息化局</w:t>
      </w:r>
      <w:r>
        <w:rPr>
          <w:rFonts w:hint="eastAsia" w:ascii="仿宋_GB2312" w:eastAsia="仿宋_GB2312"/>
          <w:sz w:val="32"/>
          <w:szCs w:val="32"/>
          <w:highlight w:val="none"/>
          <w:lang w:eastAsia="zh-CN"/>
        </w:rPr>
        <w:t>直接行文下达资金计划；</w:t>
      </w:r>
    </w:p>
    <w:p>
      <w:pPr>
        <w:keepNext w:val="0"/>
        <w:keepLines w:val="0"/>
        <w:pageBreakBefore w:val="0"/>
        <w:widowControl w:val="0"/>
        <w:kinsoku/>
        <w:wordWrap/>
        <w:overflowPunct/>
        <w:topLinePunct w:val="0"/>
        <w:autoSpaceDE/>
        <w:autoSpaceDN/>
        <w:bidi w:val="0"/>
        <w:spacing w:before="0" w:after="0" w:line="560" w:lineRule="exact"/>
        <w:ind w:left="0" w:leftChars="0" w:right="0" w:rightChars="0" w:firstLine="640" w:firstLineChars="200"/>
        <w:textAlignment w:val="auto"/>
        <w:outlineLvl w:val="9"/>
        <w:rPr>
          <w:rFonts w:hint="default"/>
          <w:highlight w:val="none"/>
          <w:lang w:val="en-US"/>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七</w:t>
      </w:r>
      <w:r>
        <w:rPr>
          <w:rFonts w:hint="eastAsia" w:ascii="仿宋_GB2312" w:hAnsi="宋体" w:eastAsia="仿宋_GB2312"/>
          <w:color w:val="auto"/>
          <w:sz w:val="32"/>
          <w:szCs w:val="32"/>
          <w:highlight w:val="none"/>
        </w:rPr>
        <w:t>）</w:t>
      </w:r>
      <w:r>
        <w:rPr>
          <w:rFonts w:hint="eastAsia" w:ascii="仿宋_GB2312" w:hAnsi="宋体" w:eastAsia="仿宋_GB2312"/>
          <w:sz w:val="32"/>
          <w:szCs w:val="32"/>
          <w:highlight w:val="none"/>
          <w:lang w:eastAsia="zh-CN"/>
        </w:rPr>
        <w:t>区财政部门及时安排资金，区</w:t>
      </w:r>
      <w:r>
        <w:rPr>
          <w:rFonts w:hint="eastAsia" w:ascii="仿宋_GB2312" w:hAnsi="宋体" w:eastAsia="仿宋_GB2312"/>
          <w:sz w:val="32"/>
          <w:szCs w:val="32"/>
          <w:highlight w:val="none"/>
          <w:lang w:val="en-US" w:eastAsia="zh-CN"/>
        </w:rPr>
        <w:t>工业和信息化局</w:t>
      </w:r>
      <w:r>
        <w:rPr>
          <w:rFonts w:hint="eastAsia" w:ascii="仿宋_GB2312" w:hAnsi="宋体" w:eastAsia="仿宋_GB2312"/>
          <w:sz w:val="32"/>
          <w:szCs w:val="32"/>
          <w:highlight w:val="none"/>
          <w:lang w:eastAsia="zh-CN"/>
        </w:rPr>
        <w:t>办理资金拨付手续</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spacing w:after="0" w:line="560" w:lineRule="exact"/>
        <w:ind w:firstLine="640" w:firstLineChars="200"/>
        <w:contextualSpacing/>
        <w:jc w:val="both"/>
        <w:textAlignment w:val="auto"/>
        <w:outlineLvl w:val="0"/>
        <w:rPr>
          <w:rFonts w:ascii="黑体" w:hAnsi="黑体" w:eastAsia="黑体"/>
          <w:bCs/>
          <w:kern w:val="2"/>
          <w:sz w:val="32"/>
          <w:szCs w:val="32"/>
          <w:highlight w:val="none"/>
          <w:lang w:eastAsia="zh-CN" w:bidi="ar-SA"/>
        </w:rPr>
      </w:pPr>
      <w:r>
        <w:rPr>
          <w:rFonts w:hint="eastAsia" w:ascii="黑体" w:hAnsi="黑体" w:eastAsia="黑体"/>
          <w:bCs/>
          <w:kern w:val="2"/>
          <w:sz w:val="32"/>
          <w:szCs w:val="32"/>
          <w:highlight w:val="none"/>
          <w:lang w:eastAsia="zh-CN" w:bidi="ar-SA"/>
        </w:rPr>
        <w:t>六、所需材料</w:t>
      </w:r>
    </w:p>
    <w:p>
      <w:pPr>
        <w:keepNext w:val="0"/>
        <w:keepLines w:val="0"/>
        <w:pageBreakBefore w:val="0"/>
        <w:widowControl w:val="0"/>
        <w:kinsoku/>
        <w:wordWrap/>
        <w:overflowPunct/>
        <w:topLinePunct w:val="0"/>
        <w:autoSpaceDE/>
        <w:autoSpaceDN/>
        <w:bidi w:val="0"/>
        <w:spacing w:after="0" w:line="560" w:lineRule="exact"/>
        <w:ind w:firstLine="640" w:firstLineChars="200"/>
        <w:contextualSpacing/>
        <w:jc w:val="both"/>
        <w:textAlignment w:val="auto"/>
        <w:rPr>
          <w:rFonts w:ascii="仿宋_GB2312" w:hAnsi="ˎ̥" w:eastAsia="仿宋_GB2312" w:cs="宋体"/>
          <w:sz w:val="32"/>
          <w:szCs w:val="32"/>
          <w:highlight w:val="none"/>
          <w:lang w:eastAsia="zh-CN" w:bidi="ar-SA"/>
        </w:rPr>
      </w:pPr>
      <w:r>
        <w:rPr>
          <w:rFonts w:hint="eastAsia" w:ascii="仿宋_GB2312" w:hAnsi="ˎ̥" w:eastAsia="仿宋_GB2312" w:cs="宋体"/>
          <w:sz w:val="32"/>
          <w:szCs w:val="32"/>
          <w:highlight w:val="none"/>
          <w:lang w:eastAsia="zh-Hans" w:bidi="ar-SA"/>
        </w:rPr>
        <w:t>（一）</w:t>
      </w:r>
      <w:r>
        <w:rPr>
          <w:rFonts w:hint="eastAsia" w:ascii="仿宋_GB2312" w:eastAsia="仿宋_GB2312"/>
          <w:sz w:val="32"/>
          <w:szCs w:val="32"/>
          <w:highlight w:val="none"/>
        </w:rPr>
        <w:t>《项目申请书》（</w:t>
      </w:r>
      <w:r>
        <w:rPr>
          <w:rFonts w:hint="eastAsia" w:ascii="仿宋_GB2312" w:hAnsi="仿宋_GB2312" w:eastAsia="仿宋_GB2312" w:cs="仿宋_GB2312"/>
          <w:kern w:val="0"/>
          <w:sz w:val="32"/>
          <w:szCs w:val="32"/>
          <w:highlight w:val="none"/>
          <w:lang w:val="en-US" w:eastAsia="zh-CN"/>
        </w:rPr>
        <w:t>登录“</w:t>
      </w:r>
      <w:r>
        <w:rPr>
          <w:rFonts w:hint="eastAsia" w:ascii="仿宋_GB2312" w:eastAsia="仿宋_GB2312"/>
          <w:sz w:val="32"/>
          <w:szCs w:val="32"/>
          <w:highlight w:val="none"/>
          <w:lang w:eastAsia="zh-CN"/>
        </w:rPr>
        <w:t>i南山企业服务综合平台”https://www.inanshan.org.c</w:t>
      </w:r>
      <w:r>
        <w:rPr>
          <w:rFonts w:hint="eastAsia" w:ascii="仿宋_GB2312" w:hAnsi="Times New Roman" w:eastAsia="仿宋_GB2312" w:cs="Times New Roman"/>
          <w:sz w:val="32"/>
          <w:szCs w:val="32"/>
          <w:highlight w:val="none"/>
          <w:lang w:eastAsia="zh-CN"/>
        </w:rPr>
        <w:t>n/</w:t>
      </w:r>
      <w:r>
        <w:rPr>
          <w:rFonts w:hint="eastAsia" w:ascii="仿宋_GB2312" w:hAnsi="仿宋_GB2312" w:eastAsia="仿宋_GB2312" w:cs="仿宋_GB2312"/>
          <w:kern w:val="0"/>
          <w:sz w:val="32"/>
          <w:szCs w:val="32"/>
          <w:highlight w:val="none"/>
          <w:lang w:val="en-US" w:eastAsia="zh-CN"/>
        </w:rPr>
        <w:t>在线填写，</w:t>
      </w:r>
      <w:r>
        <w:rPr>
          <w:rFonts w:hint="eastAsia" w:ascii="仿宋_GB2312" w:hAnsi="仿宋_GB2312" w:eastAsia="仿宋_GB2312" w:cs="仿宋_GB2312"/>
          <w:sz w:val="32"/>
          <w:szCs w:val="32"/>
          <w:highlight w:val="none"/>
          <w:lang w:eastAsia="zh-CN"/>
        </w:rPr>
        <w:t>法定代表人签字并加盖单位公章后，原件彩色扫描成PDF文件上传</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仿宋_GB2312" w:eastAsia="仿宋_GB2312"/>
          <w:sz w:val="32"/>
          <w:szCs w:val="32"/>
          <w:highlight w:val="none"/>
        </w:rPr>
      </w:pPr>
      <w:r>
        <w:rPr>
          <w:rFonts w:hint="eastAsia" w:ascii="仿宋_GB2312" w:eastAsia="仿宋_GB2312"/>
          <w:sz w:val="32"/>
          <w:szCs w:val="32"/>
          <w:highlight w:val="none"/>
        </w:rPr>
        <w:t>（二）</w:t>
      </w:r>
      <w:r>
        <w:rPr>
          <w:rFonts w:hint="eastAsia" w:ascii="仿宋_GB2312" w:hAnsi="宋体" w:eastAsia="仿宋_GB2312" w:cs="宋体"/>
          <w:sz w:val="32"/>
          <w:szCs w:val="32"/>
          <w:highlight w:val="none"/>
        </w:rPr>
        <w:t>统一社会信用代码证书（原件彩色扫描成PDF文件上传）</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仿宋_GB2312" w:eastAsia="仿宋_GB2312"/>
          <w:sz w:val="32"/>
          <w:szCs w:val="32"/>
          <w:highlight w:val="none"/>
        </w:rPr>
      </w:pPr>
      <w:r>
        <w:rPr>
          <w:rFonts w:hint="eastAsia" w:ascii="仿宋_GB2312" w:eastAsia="仿宋_GB2312"/>
          <w:sz w:val="32"/>
          <w:szCs w:val="32"/>
          <w:highlight w:val="none"/>
        </w:rPr>
        <w:t>（三）</w:t>
      </w:r>
      <w:r>
        <w:rPr>
          <w:rFonts w:hint="eastAsia" w:ascii="仿宋_GB2312" w:hAnsi="宋体" w:eastAsia="仿宋_GB2312" w:cs="宋体"/>
          <w:sz w:val="32"/>
          <w:szCs w:val="32"/>
          <w:lang w:eastAsia="zh-CN"/>
        </w:rPr>
        <w:t>法定代表人身份证[原件（或复印件加盖单位公章）彩色扫描</w:t>
      </w:r>
      <w:r>
        <w:rPr>
          <w:rFonts w:hint="eastAsia" w:ascii="仿宋_GB2312" w:eastAsia="仿宋_GB2312"/>
          <w:sz w:val="32"/>
          <w:szCs w:val="32"/>
          <w:lang w:eastAsia="zh-CN"/>
        </w:rPr>
        <w:t>成PDF文件</w:t>
      </w:r>
      <w:r>
        <w:rPr>
          <w:rFonts w:hint="eastAsia" w:ascii="仿宋_GB2312" w:hAnsi="宋体" w:eastAsia="仿宋_GB2312" w:cs="宋体"/>
          <w:sz w:val="32"/>
          <w:szCs w:val="32"/>
          <w:lang w:eastAsia="zh-CN"/>
        </w:rPr>
        <w:t>上传]</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仿宋_GB2312" w:eastAsia="仿宋_GB2312"/>
          <w:sz w:val="32"/>
          <w:szCs w:val="32"/>
          <w:highlight w:val="none"/>
          <w:lang w:eastAsia="zh-CN"/>
        </w:rPr>
      </w:pPr>
      <w:r>
        <w:rPr>
          <w:rFonts w:hint="eastAsia" w:ascii="仿宋_GB2312" w:eastAsia="仿宋_GB2312"/>
          <w:sz w:val="32"/>
          <w:szCs w:val="32"/>
          <w:highlight w:val="none"/>
        </w:rPr>
        <w:t>（四）</w:t>
      </w:r>
      <w:r>
        <w:rPr>
          <w:rFonts w:hint="eastAsia" w:ascii="仿宋_GB2312" w:eastAsia="仿宋_GB2312"/>
          <w:sz w:val="32"/>
          <w:szCs w:val="32"/>
          <w:highlight w:val="none"/>
          <w:lang w:eastAsia="zh-CN"/>
        </w:rPr>
        <w:t>上年度企业云服务或工业互联网服务合同</w:t>
      </w:r>
      <w:r>
        <w:rPr>
          <w:rFonts w:hint="eastAsia" w:ascii="仿宋_GB2312" w:hAnsi="宋体" w:eastAsia="仿宋_GB2312" w:cs="宋体"/>
          <w:sz w:val="32"/>
          <w:szCs w:val="32"/>
          <w:highlight w:val="none"/>
        </w:rPr>
        <w:t>（原件彩色扫描成PDF文件上传）</w:t>
      </w:r>
      <w:r>
        <w:rPr>
          <w:rFonts w:hint="eastAsia" w:ascii="仿宋_GB2312" w:hAnsi="宋体" w:eastAsia="仿宋_GB2312" w:cs="宋体"/>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（五）年度费用结账单、对应发票及付款凭证</w:t>
      </w:r>
      <w:r>
        <w:rPr>
          <w:rFonts w:hint="eastAsia" w:ascii="仿宋_GB2312" w:hAnsi="宋体" w:eastAsia="仿宋_GB2312" w:cs="宋体"/>
          <w:sz w:val="32"/>
          <w:szCs w:val="32"/>
          <w:highlight w:val="none"/>
        </w:rPr>
        <w:t>（原件彩色扫描成PDF文件上传）</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（六）上年度1-11月、1-12月财务状况表及其调查单位基本情况表[“统计联网直报平台”下载，原件（或复印件加盖单位公章）彩色扫描成PDF文件上传]；</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（七）</w:t>
      </w:r>
      <w:r>
        <w:rPr>
          <w:rFonts w:hint="eastAsia" w:ascii="仿宋_GB2312" w:eastAsia="仿宋_GB2312"/>
          <w:color w:val="000000"/>
          <w:w w:val="95"/>
          <w:sz w:val="32"/>
          <w:szCs w:val="32"/>
          <w:highlight w:val="none"/>
          <w:lang w:eastAsia="zh-CN"/>
        </w:rPr>
        <w:t>其他与项目有关的说明材料</w:t>
      </w:r>
      <w:r>
        <w:rPr>
          <w:rFonts w:hint="eastAsia" w:ascii="仿宋_GB2312" w:eastAsia="仿宋_GB2312"/>
          <w:sz w:val="32"/>
          <w:szCs w:val="32"/>
          <w:highlight w:val="none"/>
          <w:lang w:eastAsia="zh-CN"/>
        </w:rPr>
        <w:t>（原件彩色扫描成PDF文件上传）</w:t>
      </w:r>
      <w:r>
        <w:rPr>
          <w:rFonts w:hint="eastAsia" w:ascii="仿宋_GB2312" w:eastAsia="仿宋_GB2312"/>
          <w:color w:val="000000"/>
          <w:w w:val="95"/>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08" w:firstLineChars="200"/>
        <w:contextualSpacing/>
        <w:textAlignment w:val="auto"/>
        <w:outlineLvl w:val="9"/>
        <w:rPr>
          <w:rFonts w:hint="eastAsia" w:ascii="仿宋_GB2312" w:eastAsia="仿宋_GB2312"/>
          <w:color w:val="000000"/>
          <w:w w:val="95"/>
          <w:sz w:val="32"/>
          <w:szCs w:val="32"/>
          <w:highlight w:val="none"/>
        </w:rPr>
      </w:pPr>
      <w:r>
        <w:rPr>
          <w:rFonts w:hint="eastAsia" w:ascii="仿宋_GB2312" w:eastAsia="仿宋_GB2312"/>
          <w:color w:val="000000"/>
          <w:w w:val="95"/>
          <w:sz w:val="32"/>
          <w:szCs w:val="32"/>
          <w:highlight w:val="none"/>
        </w:rPr>
        <w:t>备注：本项目无需提交纸质件</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0"/>
        <w:rPr>
          <w:rFonts w:ascii="黑体" w:eastAsia="黑体"/>
          <w:sz w:val="32"/>
          <w:szCs w:val="32"/>
          <w:highlight w:val="none"/>
        </w:rPr>
      </w:pPr>
      <w:r>
        <w:rPr>
          <w:rFonts w:hint="eastAsia" w:ascii="黑体" w:eastAsia="黑体"/>
          <w:sz w:val="32"/>
          <w:szCs w:val="32"/>
          <w:highlight w:val="none"/>
        </w:rPr>
        <w:t>七、</w:t>
      </w:r>
      <w:r>
        <w:rPr>
          <w:rFonts w:hint="eastAsia" w:ascii="黑体" w:hAnsi="黑体" w:eastAsia="黑体"/>
          <w:bCs/>
          <w:sz w:val="32"/>
          <w:szCs w:val="32"/>
          <w:highlight w:val="none"/>
          <w:lang w:eastAsia="zh-CN"/>
        </w:rPr>
        <w:t>申报时间和办理时限</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区</w:t>
      </w:r>
      <w:r>
        <w:rPr>
          <w:rFonts w:hint="eastAsia" w:ascii="仿宋_GB2312" w:eastAsia="仿宋_GB2312"/>
          <w:color w:val="auto"/>
          <w:sz w:val="32"/>
          <w:szCs w:val="32"/>
          <w:highlight w:val="none"/>
          <w:lang w:val="en-US" w:eastAsia="zh-CN"/>
        </w:rPr>
        <w:t>工业和信息化</w:t>
      </w:r>
      <w:r>
        <w:rPr>
          <w:rFonts w:hint="eastAsia" w:ascii="仿宋_GB2312" w:eastAsia="仿宋_GB2312"/>
          <w:color w:val="auto"/>
          <w:sz w:val="32"/>
          <w:szCs w:val="32"/>
          <w:highlight w:val="none"/>
        </w:rPr>
        <w:t>局每年安排1</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次集中受理企业申请（具体时间以发布的申报通知为准），</w:t>
      </w:r>
      <w:r>
        <w:rPr>
          <w:rFonts w:hint="eastAsia" w:ascii="仿宋_GB2312" w:eastAsia="仿宋_GB2312"/>
          <w:color w:val="auto"/>
          <w:sz w:val="32"/>
          <w:szCs w:val="32"/>
          <w:highlight w:val="none"/>
          <w:lang w:val="en-US" w:eastAsia="zh-CN"/>
        </w:rPr>
        <w:t>资助</w:t>
      </w:r>
      <w:r>
        <w:rPr>
          <w:rFonts w:hint="eastAsia" w:ascii="仿宋_GB2312" w:eastAsia="仿宋_GB2312"/>
          <w:color w:val="auto"/>
          <w:sz w:val="32"/>
          <w:szCs w:val="32"/>
          <w:highlight w:val="none"/>
        </w:rPr>
        <w:t>计划下达1个月内受资助单位须办理资金拨付手续，逾期不办理者视为自动放弃。</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0"/>
        <w:rPr>
          <w:rFonts w:ascii="黑体" w:eastAsia="黑体"/>
          <w:color w:val="000000"/>
          <w:sz w:val="32"/>
          <w:szCs w:val="32"/>
          <w:highlight w:val="none"/>
        </w:rPr>
      </w:pPr>
      <w:r>
        <w:rPr>
          <w:rFonts w:hint="eastAsia" w:ascii="黑体" w:eastAsia="黑体"/>
          <w:color w:val="000000"/>
          <w:sz w:val="32"/>
          <w:szCs w:val="32"/>
          <w:highlight w:val="none"/>
        </w:rPr>
        <w:t>八、其他事项</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仿宋_GB2312" w:eastAsia="仿宋_GB2312"/>
          <w:color w:val="auto"/>
          <w:sz w:val="32"/>
          <w:szCs w:val="32"/>
          <w:highlight w:val="none"/>
        </w:rPr>
      </w:pPr>
      <w:r>
        <w:rPr>
          <w:rFonts w:hint="eastAsia" w:ascii="仿宋_GB2312" w:eastAsia="仿宋_GB2312"/>
          <w:color w:val="000000"/>
          <w:sz w:val="32"/>
          <w:szCs w:val="32"/>
          <w:highlight w:val="none"/>
        </w:rPr>
        <w:t>申请</w:t>
      </w:r>
      <w:r>
        <w:rPr>
          <w:rFonts w:hint="eastAsia" w:ascii="仿宋_GB2312" w:hAnsi="仿宋" w:eastAsia="仿宋_GB2312"/>
          <w:color w:val="000000"/>
          <w:sz w:val="32"/>
          <w:szCs w:val="32"/>
          <w:highlight w:val="none"/>
        </w:rPr>
        <w:t>本项目资助的企业应保证其申报材料的完整性、真实性、准确性及合法性，并承担所提交的项目申报材料的相关法律责任，如有虚假或侵权等行为，该项目申请无效，如事后发现存在以上行为，本资金主管部门将保留依法追究其法律责任的权利</w:t>
      </w:r>
      <w:r>
        <w:rPr>
          <w:rFonts w:hint="eastAsia" w:ascii="仿宋_GB2312" w:eastAsia="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0"/>
        <w:rPr>
          <w:rFonts w:ascii="黑体" w:eastAsia="黑体"/>
          <w:sz w:val="32"/>
          <w:szCs w:val="32"/>
          <w:highlight w:val="none"/>
        </w:rPr>
      </w:pPr>
      <w:r>
        <w:rPr>
          <w:rFonts w:hint="eastAsia" w:ascii="黑体" w:eastAsia="黑体"/>
          <w:color w:val="000000"/>
          <w:sz w:val="32"/>
          <w:szCs w:val="32"/>
          <w:highlight w:val="none"/>
          <w:lang w:eastAsia="zh-CN"/>
        </w:rPr>
        <w:t>九</w:t>
      </w:r>
      <w:r>
        <w:rPr>
          <w:rFonts w:hint="eastAsia" w:ascii="黑体" w:eastAsia="黑体"/>
          <w:color w:val="000000"/>
          <w:sz w:val="32"/>
          <w:szCs w:val="32"/>
          <w:highlight w:val="none"/>
        </w:rPr>
        <w:t>、</w:t>
      </w:r>
      <w:r>
        <w:rPr>
          <w:rFonts w:hint="eastAsia" w:ascii="黑体" w:eastAsia="黑体"/>
          <w:sz w:val="32"/>
          <w:szCs w:val="32"/>
          <w:highlight w:val="none"/>
        </w:rPr>
        <w:t>附则</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仿宋_GB2312" w:eastAsia="仿宋_GB2312"/>
          <w:sz w:val="32"/>
          <w:szCs w:val="32"/>
          <w:highlight w:val="none"/>
          <w:lang w:eastAsia="zh-CN"/>
        </w:rPr>
      </w:pPr>
      <w:r>
        <w:rPr>
          <w:rFonts w:hint="eastAsia" w:ascii="仿宋_GB2312" w:eastAsia="仿宋_GB2312"/>
          <w:sz w:val="32"/>
          <w:szCs w:val="32"/>
          <w:highlight w:val="none"/>
        </w:rPr>
        <w:t>本规程由南山区</w:t>
      </w:r>
      <w:r>
        <w:rPr>
          <w:rFonts w:hint="eastAsia" w:ascii="仿宋_GB2312" w:eastAsia="仿宋_GB2312"/>
          <w:sz w:val="32"/>
          <w:szCs w:val="32"/>
          <w:highlight w:val="none"/>
          <w:lang w:val="en-US" w:eastAsia="zh-CN"/>
        </w:rPr>
        <w:t>工业和信息化</w:t>
      </w:r>
      <w:r>
        <w:rPr>
          <w:rFonts w:hint="eastAsia" w:ascii="仿宋_GB2312" w:eastAsia="仿宋_GB2312"/>
          <w:sz w:val="32"/>
          <w:szCs w:val="32"/>
          <w:highlight w:val="none"/>
        </w:rPr>
        <w:t>局负责解释，自发布之日起施行。</w:t>
      </w:r>
    </w:p>
    <w:p>
      <w:pPr>
        <w:keepNext w:val="0"/>
        <w:keepLines w:val="0"/>
        <w:pageBreakBefore w:val="0"/>
        <w:widowControl w:val="0"/>
        <w:kinsoku/>
        <w:wordWrap/>
        <w:overflowPunct/>
        <w:topLinePunct w:val="0"/>
        <w:autoSpaceDE/>
        <w:autoSpaceDN/>
        <w:bidi w:val="0"/>
        <w:textAlignment w:val="auto"/>
      </w:pPr>
    </w:p>
    <w:sectPr>
      <w:footerReference r:id="rId5" w:type="default"/>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ˎ̥">
    <w:altName w:val="华文仿宋"/>
    <w:panose1 w:val="00000000000000000000"/>
    <w:charset w:val="00"/>
    <w:family w:val="roma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F21D8B"/>
    <w:multiLevelType w:val="singleLevel"/>
    <w:tmpl w:val="EAF21D8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DF594BD"/>
    <w:rsid w:val="1E6F0EFD"/>
    <w:rsid w:val="3ABDD7A2"/>
    <w:rsid w:val="3B78E32A"/>
    <w:rsid w:val="3BFFE27E"/>
    <w:rsid w:val="3FBAEF9E"/>
    <w:rsid w:val="3FE41B9C"/>
    <w:rsid w:val="3FF3EC8F"/>
    <w:rsid w:val="42BF12AF"/>
    <w:rsid w:val="492EE654"/>
    <w:rsid w:val="4A1947CF"/>
    <w:rsid w:val="58CD46FE"/>
    <w:rsid w:val="5BFF3D9D"/>
    <w:rsid w:val="5F7C385E"/>
    <w:rsid w:val="5F9C2DD7"/>
    <w:rsid w:val="6617EB44"/>
    <w:rsid w:val="67FFED36"/>
    <w:rsid w:val="6F9AFD70"/>
    <w:rsid w:val="6FDF1572"/>
    <w:rsid w:val="75671F48"/>
    <w:rsid w:val="76FA76C8"/>
    <w:rsid w:val="78C6268A"/>
    <w:rsid w:val="7AE74FF4"/>
    <w:rsid w:val="7D738651"/>
    <w:rsid w:val="7D9E0E92"/>
    <w:rsid w:val="7DF3E1E1"/>
    <w:rsid w:val="7E537311"/>
    <w:rsid w:val="7F67E479"/>
    <w:rsid w:val="7F7D8135"/>
    <w:rsid w:val="7F7FE0A2"/>
    <w:rsid w:val="7F95169D"/>
    <w:rsid w:val="7FAF4563"/>
    <w:rsid w:val="7FF96E19"/>
    <w:rsid w:val="9CFBFF0F"/>
    <w:rsid w:val="ABFCA44E"/>
    <w:rsid w:val="AEF7913F"/>
    <w:rsid w:val="B37D0DF4"/>
    <w:rsid w:val="B9BFF053"/>
    <w:rsid w:val="BABB571E"/>
    <w:rsid w:val="BDBFD6B4"/>
    <w:rsid w:val="BDF7B0CE"/>
    <w:rsid w:val="BDFFFB5B"/>
    <w:rsid w:val="BE73BA55"/>
    <w:rsid w:val="C6F3B665"/>
    <w:rsid w:val="D753DED9"/>
    <w:rsid w:val="D7C909D2"/>
    <w:rsid w:val="DAAEE84B"/>
    <w:rsid w:val="DF7EBDDA"/>
    <w:rsid w:val="DFBBDA56"/>
    <w:rsid w:val="E7FFD5F3"/>
    <w:rsid w:val="EE3B6C95"/>
    <w:rsid w:val="F1FE9CA5"/>
    <w:rsid w:val="F97D89CE"/>
    <w:rsid w:val="FBD6DBF8"/>
    <w:rsid w:val="FD523083"/>
    <w:rsid w:val="FF7EF088"/>
    <w:rsid w:val="FFFE4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sz w:val="22"/>
      <w:szCs w:val="22"/>
      <w:lang w:val="en-US" w:eastAsia="en-US" w:bidi="en-US"/>
    </w:rPr>
  </w:style>
  <w:style w:type="paragraph" w:styleId="2">
    <w:name w:val="heading 1"/>
    <w:basedOn w:val="1"/>
    <w:next w:val="1"/>
    <w:qFormat/>
    <w:uiPriority w:val="99"/>
    <w:pPr>
      <w:keepNext/>
      <w:keepLines/>
      <w:spacing w:line="360" w:lineRule="auto"/>
      <w:jc w:val="center"/>
      <w:outlineLvl w:val="0"/>
    </w:pPr>
    <w:rPr>
      <w:rFonts w:eastAsia="黑体"/>
      <w:kern w:val="44"/>
      <w:sz w:val="44"/>
      <w:szCs w:val="44"/>
      <w:lang w:val="zh-CN"/>
    </w:rPr>
  </w:style>
  <w:style w:type="paragraph" w:styleId="3">
    <w:name w:val="heading 4"/>
    <w:basedOn w:val="1"/>
    <w:next w:val="1"/>
    <w:qFormat/>
    <w:uiPriority w:val="9"/>
    <w:pPr>
      <w:pBdr>
        <w:bottom w:val="dotted" w:color="943634" w:sz="4" w:space="1"/>
      </w:pBdr>
      <w:spacing w:after="120"/>
      <w:jc w:val="center"/>
      <w:outlineLvl w:val="3"/>
    </w:pPr>
    <w:rPr>
      <w:caps/>
      <w:color w:val="622423"/>
      <w:spacing w:val="1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2018-07-19T15:11:00Z</dcterms:created>
  <dc:creator>d</dc:creator>
  <cp:lastModifiedBy>区工业和信息化局帐户</cp:lastModifiedBy>
  <cp:lastPrinted>2024-10-19T05:25:00Z</cp:lastPrinted>
  <dcterms:modified xsi:type="dcterms:W3CDTF">2024-11-11T17:34:48Z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