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光明区促进科技创新发展扶持计划国内外高水平人才团队创新创业资助</w:t>
      </w:r>
    </w:p>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项目申报指南</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22"/>
          <w:highlight w:val="none"/>
          <w:shd w:val="clear"/>
        </w:rPr>
      </w:pPr>
      <w:r>
        <w:rPr>
          <w:rFonts w:hint="eastAsia" w:ascii="仿宋_GB2312" w:hAnsi="仿宋_GB2312" w:eastAsia="仿宋_GB2312" w:cs="仿宋_GB2312"/>
          <w:b w:val="0"/>
          <w:bCs w:val="0"/>
          <w:color w:val="auto"/>
          <w:sz w:val="32"/>
          <w:szCs w:val="32"/>
          <w:highlight w:val="none"/>
          <w:lang w:eastAsia="zh-CN"/>
        </w:rPr>
        <w:t>（三）《深圳市光明区促进科技创新发展扶持计划操作规程》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color w:val="auto"/>
          <w:sz w:val="32"/>
          <w:szCs w:val="22"/>
          <w:highlight w:val="none"/>
          <w:shd w:val="clear"/>
          <w:lang w:eastAsia="zh-CN"/>
        </w:rPr>
      </w:pPr>
      <w:r>
        <w:rPr>
          <w:rFonts w:hint="default" w:ascii="Times New Roman" w:hAnsi="Times New Roman" w:eastAsia="黑体" w:cs="Times New Roman"/>
          <w:color w:val="auto"/>
          <w:sz w:val="32"/>
          <w:szCs w:val="22"/>
          <w:highlight w:val="none"/>
          <w:shd w:val="clear"/>
        </w:rPr>
        <w:t>二、</w:t>
      </w:r>
      <w:r>
        <w:rPr>
          <w:rFonts w:hint="eastAsia" w:eastAsia="黑体" w:cs="Times New Roman"/>
          <w:color w:val="auto"/>
          <w:sz w:val="32"/>
          <w:szCs w:val="32"/>
          <w:highlight w:val="none"/>
          <w:shd w:val="clear" w:color="auto" w:fill="FFFFFF"/>
          <w:lang w:eastAsia="zh-CN"/>
        </w:rPr>
        <w:t>支持标准、方式</w:t>
      </w:r>
      <w:r>
        <w:rPr>
          <w:rFonts w:hint="default" w:ascii="Times New Roman" w:hAnsi="Times New Roman" w:eastAsia="黑体" w:cs="Times New Roman"/>
          <w:color w:val="auto"/>
          <w:sz w:val="32"/>
          <w:szCs w:val="32"/>
          <w:highlight w:val="none"/>
          <w:shd w:val="clear" w:color="auto" w:fill="FFFFFF"/>
        </w:rPr>
        <w:t>及</w:t>
      </w:r>
      <w:r>
        <w:rPr>
          <w:rFonts w:hint="eastAsia" w:eastAsia="黑体" w:cs="Times New Roman"/>
          <w:color w:val="auto"/>
          <w:sz w:val="32"/>
          <w:szCs w:val="32"/>
          <w:highlight w:val="none"/>
          <w:shd w:val="clear" w:color="auto" w:fill="FFFFFF"/>
          <w:lang w:eastAsia="zh-CN"/>
        </w:rPr>
        <w:t>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（一）支持标准：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 w:eastAsia="zh-CN"/>
        </w:rPr>
        <w:t>1.</w:t>
      </w:r>
      <w:r>
        <w:rPr>
          <w:rFonts w:hint="eastAsia" w:ascii="仿宋_GB2312" w:hAnsi="仿宋_GB2312" w:eastAsia="仿宋_GB2312" w:cs="仿宋_GB2312"/>
          <w:color w:val="auto"/>
          <w:sz w:val="32"/>
          <w:szCs w:val="32"/>
          <w:highlight w:val="none"/>
          <w:u w:val="none" w:color="auto"/>
          <w:lang w:val="en-US" w:eastAsia="zh-CN"/>
        </w:rPr>
        <w:t>重点项目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（1）对2022年以后通过评审的市级、省级及以上高层次人才团队，在光明区开展创新创业，</w:t>
      </w:r>
      <w:r>
        <w:rPr>
          <w:rFonts w:hint="eastAsia" w:ascii="仿宋_GB2312" w:hAnsi="Calibri" w:eastAsia="仿宋_GB2312" w:cs="Times New Roman"/>
          <w:color w:val="auto"/>
          <w:kern w:val="0"/>
          <w:sz w:val="32"/>
          <w:szCs w:val="32"/>
          <w:highlight w:val="none"/>
          <w:u w:val="none" w:color="auto"/>
          <w:lang w:val="en-US" w:eastAsia="zh-CN" w:bidi="ar"/>
        </w:rPr>
        <w:t>按企业注册一年内实际投入金额的</w:t>
      </w:r>
      <w:r>
        <w:rPr>
          <w:rFonts w:hint="default" w:ascii="仿宋_GB2312" w:hAnsi="Calibri" w:eastAsia="仿宋_GB2312" w:cs="Times New Roman"/>
          <w:color w:val="auto"/>
          <w:kern w:val="0"/>
          <w:sz w:val="32"/>
          <w:szCs w:val="32"/>
          <w:highlight w:val="none"/>
          <w:u w:val="none" w:color="auto"/>
          <w:lang w:val="en" w:eastAsia="zh-CN" w:bidi="ar"/>
        </w:rPr>
        <w:t>3</w:t>
      </w:r>
      <w:r>
        <w:rPr>
          <w:rFonts w:hint="eastAsia" w:ascii="仿宋_GB2312" w:hAnsi="Calibri" w:eastAsia="仿宋_GB2312" w:cs="Times New Roman"/>
          <w:color w:val="auto"/>
          <w:kern w:val="0"/>
          <w:sz w:val="32"/>
          <w:szCs w:val="32"/>
          <w:highlight w:val="none"/>
          <w:u w:val="none" w:color="auto"/>
          <w:lang w:val="en-US" w:eastAsia="zh-CN" w:bidi="ar"/>
        </w:rPr>
        <w:t>0%，</w:t>
      </w:r>
      <w:r>
        <w:rPr>
          <w:rFonts w:hint="eastAsia" w:ascii="仿宋_GB2312" w:hAnsi="仿宋_GB2312" w:eastAsia="仿宋_GB2312" w:cs="仿宋_GB2312"/>
          <w:color w:val="auto"/>
          <w:kern w:val="0"/>
          <w:sz w:val="32"/>
          <w:szCs w:val="32"/>
          <w:highlight w:val="none"/>
          <w:u w:val="none" w:color="auto"/>
          <w:lang w:val="en-US" w:eastAsia="zh-CN" w:bidi="ar"/>
        </w:rPr>
        <w:t>给予最高500万元资助。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kern w:val="0"/>
          <w:sz w:val="32"/>
          <w:szCs w:val="32"/>
          <w:highlight w:val="none"/>
          <w:u w:val="none" w:color="auto"/>
          <w:lang w:val="en-US" w:eastAsia="zh-CN" w:bidi="ar"/>
        </w:rPr>
        <w:t>（2）对院士团队在光明区开展创新创业，其中院士所占企业股份不低于30%，</w:t>
      </w:r>
      <w:r>
        <w:rPr>
          <w:rFonts w:hint="eastAsia" w:ascii="仿宋_GB2312" w:hAnsi="Calibri" w:eastAsia="仿宋_GB2312" w:cs="Times New Roman"/>
          <w:color w:val="auto"/>
          <w:kern w:val="0"/>
          <w:sz w:val="32"/>
          <w:szCs w:val="32"/>
          <w:highlight w:val="none"/>
          <w:u w:val="none" w:color="auto"/>
          <w:lang w:val="en-US" w:eastAsia="zh-CN" w:bidi="ar"/>
        </w:rPr>
        <w:t>按企业注册一年内实际投入金额的</w:t>
      </w:r>
      <w:r>
        <w:rPr>
          <w:rFonts w:hint="default" w:ascii="仿宋_GB2312" w:hAnsi="Calibri" w:eastAsia="仿宋_GB2312" w:cs="Times New Roman"/>
          <w:color w:val="auto"/>
          <w:kern w:val="0"/>
          <w:sz w:val="32"/>
          <w:szCs w:val="32"/>
          <w:highlight w:val="none"/>
          <w:u w:val="none" w:color="auto"/>
          <w:lang w:val="en" w:eastAsia="zh-CN" w:bidi="ar"/>
        </w:rPr>
        <w:t>3</w:t>
      </w:r>
      <w:r>
        <w:rPr>
          <w:rFonts w:hint="eastAsia" w:ascii="仿宋_GB2312" w:hAnsi="Calibri" w:eastAsia="仿宋_GB2312" w:cs="Times New Roman"/>
          <w:color w:val="auto"/>
          <w:kern w:val="0"/>
          <w:sz w:val="32"/>
          <w:szCs w:val="32"/>
          <w:highlight w:val="none"/>
          <w:u w:val="none" w:color="auto"/>
          <w:lang w:val="en-US" w:eastAsia="zh-CN" w:bidi="ar"/>
        </w:rPr>
        <w:t>0%，</w:t>
      </w:r>
      <w:r>
        <w:rPr>
          <w:rFonts w:hint="eastAsia" w:ascii="仿宋_GB2312" w:hAnsi="仿宋_GB2312" w:eastAsia="仿宋_GB2312" w:cs="仿宋_GB2312"/>
          <w:color w:val="auto"/>
          <w:kern w:val="0"/>
          <w:sz w:val="32"/>
          <w:szCs w:val="32"/>
          <w:highlight w:val="none"/>
          <w:u w:val="none" w:color="auto"/>
          <w:lang w:val="en-US" w:eastAsia="zh-CN" w:bidi="ar"/>
        </w:rPr>
        <w:t>给予最高500万元资助。</w:t>
      </w:r>
    </w:p>
    <w:p>
      <w:pPr>
        <w:pStyle w:val="6"/>
        <w:keepNext w:val="0"/>
        <w:keepLines w:val="0"/>
        <w:pageBreakBefore w:val="0"/>
        <w:widowControl w:val="0"/>
        <w:shd w:val="clear" w:color="auto" w:fill="auto"/>
        <w:kinsoku/>
        <w:overflowPunct/>
        <w:topLinePunct w:val="0"/>
        <w:autoSpaceDE/>
        <w:autoSpaceDN/>
        <w:bidi w:val="0"/>
        <w:adjustRightInd/>
        <w:spacing w:after="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2.一般项目</w:t>
      </w:r>
    </w:p>
    <w:p>
      <w:pPr>
        <w:pStyle w:val="6"/>
        <w:keepNext w:val="0"/>
        <w:keepLines w:val="0"/>
        <w:pageBreakBefore w:val="0"/>
        <w:widowControl w:val="0"/>
        <w:shd w:val="clear" w:color="auto" w:fill="auto"/>
        <w:kinsoku/>
        <w:overflowPunct/>
        <w:topLinePunct w:val="0"/>
        <w:autoSpaceDE/>
        <w:autoSpaceDN/>
        <w:bidi w:val="0"/>
        <w:adjustRightInd/>
        <w:spacing w:after="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（1）对具有科技前沿领域核心技术、符合光明科学城产业发展需求，并通过事前备案的其他高水平人才团队创新创业项目，按企业备案后一年内实际投入金额的</w:t>
      </w:r>
      <w:r>
        <w:rPr>
          <w:rFonts w:hint="default" w:ascii="仿宋_GB2312" w:hAnsi="仿宋_GB2312" w:eastAsia="仿宋_GB2312" w:cs="仿宋_GB2312"/>
          <w:color w:val="auto"/>
          <w:sz w:val="32"/>
          <w:szCs w:val="32"/>
          <w:highlight w:val="none"/>
          <w:u w:val="none" w:color="auto"/>
          <w:lang w:val="en" w:eastAsia="zh-CN"/>
        </w:rPr>
        <w:t>3</w:t>
      </w:r>
      <w:r>
        <w:rPr>
          <w:rFonts w:hint="eastAsia" w:ascii="仿宋_GB2312" w:hAnsi="仿宋_GB2312" w:eastAsia="仿宋_GB2312" w:cs="仿宋_GB2312"/>
          <w:color w:val="auto"/>
          <w:sz w:val="32"/>
          <w:szCs w:val="32"/>
          <w:highlight w:val="none"/>
          <w:u w:val="none" w:color="auto"/>
          <w:lang w:val="en-US" w:eastAsia="zh-CN"/>
        </w:rPr>
        <w:t>0%，根据项目级别，分别给予最高100万（国际先进、国内顶尖项目）、50万元（国内领先项目）资助。</w:t>
      </w:r>
    </w:p>
    <w:p>
      <w:pPr>
        <w:pStyle w:val="6"/>
        <w:keepNext w:val="0"/>
        <w:keepLines w:val="0"/>
        <w:pageBreakBefore w:val="0"/>
        <w:widowControl w:val="0"/>
        <w:shd w:val="clear" w:color="auto" w:fill="auto"/>
        <w:kinsoku/>
        <w:overflowPunct/>
        <w:topLinePunct w:val="0"/>
        <w:autoSpaceDE/>
        <w:autoSpaceDN/>
        <w:bidi w:val="0"/>
        <w:adjustRightInd/>
        <w:spacing w:after="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color="auto"/>
          <w:lang w:val="en" w:eastAsia="zh-CN"/>
        </w:rPr>
      </w:pPr>
      <w:r>
        <w:rPr>
          <w:rFonts w:hint="eastAsia" w:ascii="仿宋_GB2312" w:hAnsi="仿宋_GB2312" w:eastAsia="仿宋_GB2312" w:cs="仿宋_GB2312"/>
          <w:color w:val="auto"/>
          <w:sz w:val="32"/>
          <w:szCs w:val="32"/>
          <w:highlight w:val="none"/>
          <w:u w:val="none" w:color="auto"/>
          <w:lang w:val="en-US" w:eastAsia="zh-CN"/>
        </w:rPr>
        <w:t>（2）对在科技主管部门主办的创新创业大赛中获奖，并在光明区从事经营活动一年以上的企业给予最高</w:t>
      </w:r>
      <w:r>
        <w:rPr>
          <w:rFonts w:hint="default" w:ascii="仿宋_GB2312" w:hAnsi="仿宋_GB2312" w:eastAsia="仿宋_GB2312" w:cs="仿宋_GB2312"/>
          <w:color w:val="auto"/>
          <w:sz w:val="32"/>
          <w:szCs w:val="32"/>
          <w:highlight w:val="none"/>
          <w:u w:val="none" w:color="auto"/>
          <w:lang w:val="en" w:eastAsia="zh-CN"/>
        </w:rPr>
        <w:t>5</w:t>
      </w:r>
      <w:r>
        <w:rPr>
          <w:rFonts w:hint="eastAsia" w:ascii="仿宋_GB2312" w:hAnsi="仿宋_GB2312" w:eastAsia="仿宋_GB2312" w:cs="仿宋_GB2312"/>
          <w:color w:val="auto"/>
          <w:sz w:val="32"/>
          <w:szCs w:val="32"/>
          <w:highlight w:val="none"/>
          <w:u w:val="none" w:color="auto"/>
          <w:lang w:val="en-US" w:eastAsia="zh-CN"/>
        </w:rPr>
        <w:t>0万元资助，其中，</w:t>
      </w:r>
      <w:r>
        <w:rPr>
          <w:rFonts w:hint="eastAsia" w:ascii="仿宋_GB2312" w:hAnsi="仿宋_GB2312" w:eastAsia="仿宋_GB2312" w:cs="仿宋_GB2312"/>
          <w:color w:val="auto"/>
          <w:sz w:val="32"/>
          <w:szCs w:val="32"/>
          <w:highlight w:val="none"/>
          <w:u w:val="none" w:color="auto"/>
          <w:lang w:val="en-US" w:eastAsia="ja-JP"/>
        </w:rPr>
        <w:t>对获得国家级创新创业大赛</w:t>
      </w:r>
      <w:r>
        <w:rPr>
          <w:rFonts w:hint="eastAsia" w:ascii="仿宋_GB2312" w:hAnsi="仿宋_GB2312" w:eastAsia="仿宋_GB2312" w:cs="仿宋_GB2312"/>
          <w:color w:val="auto"/>
          <w:sz w:val="32"/>
          <w:szCs w:val="32"/>
          <w:highlight w:val="none"/>
          <w:u w:val="none" w:color="auto"/>
          <w:lang w:val="en-US" w:eastAsia="zh-CN"/>
        </w:rPr>
        <w:t>总决赛</w:t>
      </w:r>
      <w:r>
        <w:rPr>
          <w:rFonts w:hint="eastAsia" w:ascii="仿宋_GB2312" w:hAnsi="仿宋_GB2312" w:eastAsia="仿宋_GB2312" w:cs="仿宋_GB2312"/>
          <w:color w:val="auto"/>
          <w:sz w:val="32"/>
          <w:szCs w:val="32"/>
          <w:highlight w:val="none"/>
          <w:u w:val="none" w:color="auto"/>
          <w:lang w:val="en-US" w:eastAsia="ja-JP"/>
        </w:rPr>
        <w:t>前三等次的</w:t>
      </w:r>
      <w:r>
        <w:rPr>
          <w:rFonts w:hint="eastAsia" w:ascii="仿宋_GB2312" w:hAnsi="仿宋_GB2312" w:eastAsia="仿宋_GB2312" w:cs="仿宋_GB2312"/>
          <w:color w:val="auto"/>
          <w:sz w:val="32"/>
          <w:szCs w:val="32"/>
          <w:highlight w:val="none"/>
          <w:u w:val="none" w:color="auto"/>
          <w:lang w:val="en-US" w:eastAsia="zh-CN"/>
        </w:rPr>
        <w:t>企业</w:t>
      </w:r>
      <w:r>
        <w:rPr>
          <w:rFonts w:hint="eastAsia" w:ascii="仿宋_GB2312" w:hAnsi="仿宋_GB2312" w:eastAsia="仿宋_GB2312" w:cs="仿宋_GB2312"/>
          <w:color w:val="auto"/>
          <w:sz w:val="32"/>
          <w:szCs w:val="32"/>
          <w:highlight w:val="none"/>
          <w:u w:val="none" w:color="auto"/>
          <w:lang w:val="en-US" w:eastAsia="ja-JP"/>
        </w:rPr>
        <w:t>，分别给予</w:t>
      </w:r>
      <w:r>
        <w:rPr>
          <w:rFonts w:hint="default" w:ascii="仿宋_GB2312" w:hAnsi="仿宋_GB2312" w:eastAsia="仿宋_GB2312" w:cs="仿宋_GB2312"/>
          <w:color w:val="auto"/>
          <w:sz w:val="32"/>
          <w:szCs w:val="32"/>
          <w:highlight w:val="none"/>
          <w:u w:val="none" w:color="auto"/>
          <w:lang w:val="en" w:eastAsia="zh-CN"/>
        </w:rPr>
        <w:t>5</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4</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3</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万元奖励；对获得省</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u w:val="none" w:color="auto"/>
          <w:lang w:val="en-US" w:eastAsia="ja-JP"/>
        </w:rPr>
        <w:t>市级创新创业大赛</w:t>
      </w:r>
      <w:r>
        <w:rPr>
          <w:rFonts w:hint="eastAsia" w:ascii="仿宋_GB2312" w:hAnsi="仿宋_GB2312" w:eastAsia="仿宋_GB2312" w:cs="仿宋_GB2312"/>
          <w:color w:val="auto"/>
          <w:sz w:val="32"/>
          <w:szCs w:val="32"/>
          <w:highlight w:val="none"/>
          <w:u w:val="none" w:color="auto"/>
          <w:lang w:val="en-US" w:eastAsia="zh-CN"/>
        </w:rPr>
        <w:t>行业决赛</w:t>
      </w:r>
      <w:r>
        <w:rPr>
          <w:rFonts w:hint="eastAsia" w:ascii="仿宋_GB2312" w:hAnsi="仿宋_GB2312" w:eastAsia="仿宋_GB2312" w:cs="仿宋_GB2312"/>
          <w:color w:val="auto"/>
          <w:sz w:val="32"/>
          <w:szCs w:val="32"/>
          <w:highlight w:val="none"/>
          <w:u w:val="none" w:color="auto"/>
          <w:lang w:val="en-US" w:eastAsia="ja-JP"/>
        </w:rPr>
        <w:t>前三等次的</w:t>
      </w:r>
      <w:r>
        <w:rPr>
          <w:rFonts w:hint="eastAsia" w:ascii="仿宋_GB2312" w:hAnsi="仿宋_GB2312" w:eastAsia="仿宋_GB2312" w:cs="仿宋_GB2312"/>
          <w:color w:val="auto"/>
          <w:sz w:val="32"/>
          <w:szCs w:val="32"/>
          <w:highlight w:val="none"/>
          <w:u w:val="none" w:color="auto"/>
          <w:lang w:val="en-US" w:eastAsia="zh-CN"/>
        </w:rPr>
        <w:t>企业或团队</w:t>
      </w:r>
      <w:r>
        <w:rPr>
          <w:rFonts w:hint="eastAsia" w:ascii="仿宋_GB2312" w:hAnsi="仿宋_GB2312" w:eastAsia="仿宋_GB2312" w:cs="仿宋_GB2312"/>
          <w:color w:val="auto"/>
          <w:sz w:val="32"/>
          <w:szCs w:val="32"/>
          <w:highlight w:val="none"/>
          <w:u w:val="none" w:color="auto"/>
          <w:lang w:val="en-US" w:eastAsia="ja-JP"/>
        </w:rPr>
        <w:t>，分别给予</w:t>
      </w:r>
      <w:r>
        <w:rPr>
          <w:rFonts w:hint="default" w:ascii="仿宋_GB2312" w:hAnsi="仿宋_GB2312" w:eastAsia="仿宋_GB2312" w:cs="仿宋_GB2312"/>
          <w:color w:val="auto"/>
          <w:sz w:val="32"/>
          <w:szCs w:val="32"/>
          <w:highlight w:val="none"/>
          <w:u w:val="none" w:color="auto"/>
          <w:lang w:val="en" w:eastAsia="zh-CN"/>
        </w:rPr>
        <w:t>3</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2</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1</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万元奖励</w:t>
      </w:r>
      <w:r>
        <w:rPr>
          <w:rFonts w:hint="eastAsia" w:ascii="仿宋_GB2312" w:hAnsi="仿宋_GB2312" w:eastAsia="仿宋_GB2312" w:cs="仿宋_GB2312"/>
          <w:color w:val="auto"/>
          <w:sz w:val="32"/>
          <w:szCs w:val="32"/>
          <w:highlight w:val="none"/>
          <w:u w:val="none" w:color="auto"/>
          <w:lang w:val="en-US" w:eastAsia="zh-CN"/>
        </w:rPr>
        <w:t>；对获得区级创新创业大赛行业决赛前三等次的企业或团队，分别给予10万元、8万元、5万元奖励。同一项目在多级比赛获奖的，按最高奖励金额进行差额奖励，资助金额不考虑地方财力贡献。</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楷体_GB2312" w:hAnsi="楷体_GB2312" w:eastAsia="楷体_GB2312" w:cs="楷体_GB2312"/>
          <w:i w:val="0"/>
          <w:strike w:val="0"/>
          <w:color w:val="auto"/>
          <w:sz w:val="32"/>
          <w:highlight w:val="none"/>
          <w:u w:val="none"/>
          <w:lang w:val="en-US" w:eastAsia="zh-CN"/>
        </w:rPr>
        <w:t>（二）支持方式及数量：</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事后资助，</w:t>
      </w:r>
      <w:r>
        <w:rPr>
          <w:rFonts w:hint="eastAsia" w:ascii="仿宋_GB2312" w:hAnsi="仿宋_GB2312" w:eastAsia="仿宋_GB2312" w:cs="仿宋_GB2312"/>
          <w:color w:val="auto"/>
          <w:sz w:val="32"/>
          <w:szCs w:val="32"/>
          <w:highlight w:val="none"/>
          <w:u w:val="none"/>
          <w:lang w:val="en-US" w:eastAsia="zh-CN"/>
        </w:rPr>
        <w:t>与光明区其他创新创业资助就高不重复</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w:t>
      </w:r>
      <w:r>
        <w:rPr>
          <w:rFonts w:hint="eastAsia" w:ascii="仿宋_GB2312" w:hAnsi="仿宋_GB2312" w:eastAsia="仿宋_GB2312" w:cs="仿宋_GB2312"/>
          <w:i w:val="0"/>
          <w:strike w:val="0"/>
          <w:color w:val="auto"/>
          <w:sz w:val="32"/>
          <w:highlight w:val="none"/>
          <w:u w:val="none"/>
          <w:lang w:val="en-US" w:eastAsia="zh-CN"/>
        </w:rPr>
        <w:t>属评审类项目。</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资助金额受年度财政预算安排总量控制。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eastAsia="黑体" w:cs="Times New Roman"/>
          <w:color w:val="auto"/>
          <w:sz w:val="32"/>
          <w:szCs w:val="22"/>
          <w:highlight w:val="none"/>
          <w:shd w:val="clear"/>
          <w:lang w:eastAsia="zh-CN"/>
        </w:rPr>
        <w:t>三、</w:t>
      </w:r>
      <w:r>
        <w:rPr>
          <w:rFonts w:hint="default" w:ascii="Times New Roman" w:hAnsi="Times New Roman" w:eastAsia="黑体" w:cs="Times New Roman"/>
          <w:color w:val="auto"/>
          <w:sz w:val="32"/>
          <w:szCs w:val="22"/>
          <w:highlight w:val="none"/>
          <w:shd w:val="clear"/>
        </w:rPr>
        <w:t>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（一）依法依规办理市场主体登记注册手续和税务登记手续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在光明区从事经营活动。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有规范健全的财务管理制度，依法履行统计数据申报义务。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（三）守法守信规范经营，不存在违反失信惩戒措施基础清单相关规定的情形。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eastAsia" w:ascii="仿宋_GB2312" w:hAnsi="仿宋_GB2312" w:eastAsia="仿宋_GB2312" w:cs="仿宋_GB2312"/>
          <w:i w:val="0"/>
          <w:strike w:val="0"/>
          <w:color w:val="auto"/>
          <w:sz w:val="32"/>
          <w:highlight w:val="none"/>
          <w:u w:val="none"/>
          <w:lang w:eastAsia="zh-CN"/>
        </w:rPr>
        <w:t>申报的项目应符合国家、省、市、区产业政策和经济社会发展要求</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before="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五</w:t>
      </w: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eastAsia="zh-CN"/>
        </w:rPr>
        <w:t>申请一般项目中第（</w:t>
      </w:r>
      <w:r>
        <w:rPr>
          <w:rFonts w:hint="eastAsia"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eastAsia="zh-CN"/>
        </w:rPr>
        <w:t>）类备案的企业注册时间不超过</w:t>
      </w:r>
      <w:r>
        <w:rPr>
          <w:rFonts w:hint="eastAsia" w:ascii="仿宋_GB2312" w:hAnsi="仿宋_GB2312" w:eastAsia="仿宋_GB2312" w:cs="仿宋_GB2312"/>
          <w:color w:val="auto"/>
          <w:sz w:val="32"/>
          <w:szCs w:val="32"/>
          <w:highlight w:val="none"/>
          <w:u w:val="none" w:color="auto"/>
          <w:lang w:val="en-US" w:eastAsia="zh-CN"/>
        </w:rPr>
        <w:t>1年，申请其他项目企业需</w:t>
      </w:r>
      <w:r>
        <w:rPr>
          <w:rFonts w:hint="eastAsia" w:ascii="仿宋_GB2312" w:hAnsi="仿宋_GB2312" w:eastAsia="仿宋_GB2312" w:cs="仿宋_GB2312"/>
          <w:color w:val="auto"/>
          <w:sz w:val="32"/>
          <w:szCs w:val="32"/>
          <w:highlight w:val="none"/>
          <w:u w:val="none" w:color="auto"/>
          <w:lang w:eastAsia="zh-CN"/>
        </w:rPr>
        <w:t>在</w:t>
      </w:r>
      <w:r>
        <w:rPr>
          <w:rFonts w:hint="eastAsia" w:ascii="仿宋_GB2312" w:hAnsi="仿宋_GB2312" w:eastAsia="仿宋_GB2312" w:cs="仿宋_GB2312"/>
          <w:color w:val="auto"/>
          <w:sz w:val="32"/>
          <w:szCs w:val="32"/>
          <w:highlight w:val="none"/>
          <w:u w:val="none" w:color="auto"/>
        </w:rPr>
        <w:t>光明区</w:t>
      </w:r>
      <w:r>
        <w:rPr>
          <w:rFonts w:hint="eastAsia" w:ascii="仿宋_GB2312" w:hAnsi="仿宋_GB2312" w:eastAsia="仿宋_GB2312" w:cs="仿宋_GB2312"/>
          <w:color w:val="auto"/>
          <w:sz w:val="32"/>
          <w:szCs w:val="32"/>
          <w:highlight w:val="none"/>
          <w:u w:val="none" w:color="auto"/>
          <w:lang w:eastAsia="zh-CN"/>
        </w:rPr>
        <w:t>从事经营活动满</w:t>
      </w:r>
      <w:r>
        <w:rPr>
          <w:rFonts w:hint="eastAsia"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eastAsia="zh-CN"/>
        </w:rPr>
        <w:t>年</w:t>
      </w:r>
      <w:r>
        <w:rPr>
          <w:rFonts w:hint="eastAsia" w:ascii="仿宋_GB2312" w:hAnsi="仿宋_GB2312" w:eastAsia="仿宋_GB2312" w:cs="仿宋_GB2312"/>
          <w:i w:val="0"/>
          <w:strike w:val="0"/>
          <w:color w:val="auto"/>
          <w:sz w:val="32"/>
          <w:highlight w:val="none"/>
          <w:u w:val="none" w:color="auto"/>
          <w:lang w:eastAsia="zh-CN"/>
        </w:rPr>
        <w:t>。所有申报企业</w:t>
      </w:r>
      <w:r>
        <w:rPr>
          <w:rFonts w:hint="eastAsia" w:ascii="仿宋_GB2312" w:hAnsi="仿宋_GB2312" w:eastAsia="仿宋_GB2312" w:cs="仿宋_GB2312"/>
          <w:i w:val="0"/>
          <w:strike w:val="0"/>
          <w:color w:val="auto"/>
          <w:sz w:val="32"/>
          <w:highlight w:val="none"/>
          <w:u w:val="none" w:color="auto"/>
          <w:lang w:val="en-US" w:eastAsia="zh-CN"/>
        </w:rPr>
        <w:t>1年内投入金额不少于100万</w:t>
      </w:r>
      <w:r>
        <w:rPr>
          <w:rFonts w:hint="eastAsia" w:ascii="仿宋_GB2312" w:hAnsi="仿宋_GB2312" w:eastAsia="仿宋_GB2312" w:cs="仿宋_GB2312"/>
          <w:i w:val="0"/>
          <w:strike w:val="0"/>
          <w:color w:val="auto"/>
          <w:sz w:val="32"/>
          <w:highlight w:val="none"/>
          <w:u w:val="none" w:color="auto"/>
          <w:lang w:eastAsia="zh-CN"/>
        </w:rPr>
        <w:t>。</w:t>
      </w:r>
    </w:p>
    <w:p>
      <w:pPr>
        <w:keepNext w:val="0"/>
        <w:keepLines w:val="0"/>
        <w:pageBreakBefore w:val="0"/>
        <w:pBdr>
          <w:top w:val="none" w:color="auto" w:sz="0" w:space="0"/>
          <w:left w:val="none" w:color="auto" w:sz="0" w:space="0"/>
          <w:bottom w:val="none" w:color="auto" w:sz="0" w:space="0"/>
          <w:right w:val="none" w:color="auto" w:sz="0" w:space="0"/>
        </w:pBdr>
        <w:shd w:val="clear" w:color="auto" w:fill="auto"/>
        <w:kinsoku/>
        <w:overflowPunct/>
        <w:topLinePunct w:val="0"/>
        <w:bidi w:val="0"/>
        <w:snapToGrid w:val="0"/>
        <w:spacing w:line="560" w:lineRule="exact"/>
        <w:ind w:firstLine="640" w:firstLineChars="200"/>
        <w:textAlignment w:val="auto"/>
        <w:rPr>
          <w:rFonts w:hint="eastAsia" w:ascii="仿宋_GB2312" w:hAnsi="仿宋_GB2312" w:eastAsia="仿宋_GB2312" w:cs="仿宋_GB2312"/>
          <w:i w:val="0"/>
          <w:strike w:val="0"/>
          <w:color w:val="auto"/>
          <w:sz w:val="32"/>
          <w:highlight w:val="none"/>
          <w:u w:val="none" w:color="auto"/>
          <w:lang w:eastAsia="zh-CN"/>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六</w:t>
      </w:r>
      <w:r>
        <w:rPr>
          <w:rFonts w:hint="eastAsia" w:ascii="仿宋_GB2312" w:hAnsi="仿宋_GB2312" w:eastAsia="仿宋_GB2312" w:cs="仿宋_GB2312"/>
          <w:i w:val="0"/>
          <w:strike w:val="0"/>
          <w:color w:val="auto"/>
          <w:sz w:val="32"/>
          <w:highlight w:val="none"/>
          <w:u w:val="none" w:color="auto"/>
          <w:lang w:eastAsia="zh-CN"/>
        </w:rPr>
        <w:t>）</w:t>
      </w:r>
      <w:r>
        <w:rPr>
          <w:rFonts w:hint="default" w:ascii="仿宋_GB2312" w:hAnsi="仿宋_GB2312" w:eastAsia="仿宋_GB2312" w:cs="仿宋_GB2312"/>
          <w:i w:val="0"/>
          <w:strike w:val="0"/>
          <w:color w:val="auto"/>
          <w:sz w:val="32"/>
          <w:highlight w:val="none"/>
          <w:u w:val="none" w:color="auto"/>
          <w:lang w:val="en" w:eastAsia="zh-CN"/>
        </w:rPr>
        <w:t>申请</w:t>
      </w:r>
      <w:r>
        <w:rPr>
          <w:rFonts w:hint="eastAsia" w:ascii="仿宋_GB2312" w:hAnsi="仿宋_GB2312" w:eastAsia="仿宋_GB2312" w:cs="仿宋_GB2312"/>
          <w:color w:val="auto"/>
          <w:sz w:val="32"/>
          <w:szCs w:val="32"/>
          <w:highlight w:val="none"/>
          <w:u w:val="none" w:color="auto"/>
          <w:lang w:eastAsia="zh-CN"/>
        </w:rPr>
        <w:t>一般项目第（</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eastAsia="zh-CN"/>
        </w:rPr>
        <w:t>）类的应</w:t>
      </w:r>
      <w:r>
        <w:rPr>
          <w:rFonts w:hint="eastAsia" w:ascii="仿宋_GB2312" w:hAnsi="仿宋_GB2312" w:eastAsia="仿宋_GB2312" w:cs="仿宋_GB2312"/>
          <w:b w:val="0"/>
          <w:bCs w:val="0"/>
          <w:color w:val="auto"/>
          <w:sz w:val="32"/>
          <w:szCs w:val="32"/>
          <w:highlight w:val="none"/>
          <w:u w:val="none" w:color="auto"/>
          <w:lang w:val="en-US" w:eastAsia="zh-CN"/>
        </w:rPr>
        <w:t>为2022年1月1日之后获得</w:t>
      </w:r>
      <w:r>
        <w:rPr>
          <w:rFonts w:hint="eastAsia" w:ascii="仿宋_GB2312" w:hAnsi="仿宋_GB2312" w:eastAsia="仿宋_GB2312" w:cs="仿宋_GB2312"/>
          <w:color w:val="auto"/>
          <w:sz w:val="32"/>
          <w:szCs w:val="32"/>
          <w:highlight w:val="none"/>
          <w:u w:val="none" w:color="auto"/>
          <w:lang w:val="en-US" w:eastAsia="ja-JP"/>
        </w:rPr>
        <w:t>国家</w:t>
      </w:r>
      <w:r>
        <w:rPr>
          <w:rFonts w:hint="eastAsia" w:ascii="仿宋_GB2312" w:hAnsi="仿宋_GB2312" w:eastAsia="仿宋_GB2312" w:cs="仿宋_GB2312"/>
          <w:color w:val="auto"/>
          <w:sz w:val="32"/>
          <w:szCs w:val="32"/>
          <w:highlight w:val="none"/>
          <w:u w:val="none" w:color="auto"/>
          <w:lang w:val="en-US" w:eastAsia="zh-CN"/>
        </w:rPr>
        <w:t>、省、市</w:t>
      </w:r>
      <w:r>
        <w:rPr>
          <w:rFonts w:hint="eastAsia" w:ascii="仿宋_GB2312" w:hAnsi="仿宋_GB2312" w:eastAsia="仿宋_GB2312" w:cs="仿宋_GB2312"/>
          <w:color w:val="auto"/>
          <w:sz w:val="32"/>
          <w:szCs w:val="32"/>
          <w:highlight w:val="none"/>
          <w:u w:val="none" w:color="auto"/>
          <w:lang w:val="en-US" w:eastAsia="ja-JP"/>
        </w:rPr>
        <w:t>级</w:t>
      </w:r>
      <w:r>
        <w:rPr>
          <w:rFonts w:hint="eastAsia" w:ascii="仿宋_GB2312" w:hAnsi="宋体" w:eastAsia="仿宋_GB2312" w:cs="仿宋_GB2312"/>
          <w:b w:val="0"/>
          <w:bCs w:val="0"/>
          <w:color w:val="auto"/>
          <w:kern w:val="0"/>
          <w:sz w:val="32"/>
          <w:szCs w:val="32"/>
          <w:highlight w:val="none"/>
          <w:u w:val="none" w:color="auto"/>
          <w:lang w:val="en-US" w:eastAsia="zh-CN" w:bidi="ar"/>
        </w:rPr>
        <w:t>科技主管部门主办的创新创业大赛前三等奖的单位或者为2024年1月1日之后获得光明区创新创业大赛行业决赛前三等奖的单位，后者需同时为2024年1月1日后光明区新增单位。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七</w:t>
      </w: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color w:val="auto"/>
          <w:kern w:val="2"/>
          <w:sz w:val="32"/>
          <w:szCs w:val="32"/>
          <w:highlight w:val="none"/>
          <w:u w:val="none" w:color="auto"/>
          <w:lang w:val="en-US" w:eastAsia="zh-CN" w:bidi="ar-SA"/>
        </w:rPr>
        <w:t>申报单位</w:t>
      </w:r>
      <w:r>
        <w:rPr>
          <w:rFonts w:hint="default" w:ascii="仿宋_GB2312" w:hAnsi="仿宋_GB2312" w:eastAsia="仿宋_GB2312" w:cs="仿宋_GB2312"/>
          <w:color w:val="auto"/>
          <w:kern w:val="2"/>
          <w:sz w:val="32"/>
          <w:szCs w:val="32"/>
          <w:highlight w:val="none"/>
          <w:u w:val="none" w:color="auto"/>
          <w:lang w:val="en-US" w:eastAsia="zh-CN" w:bidi="ar-SA"/>
        </w:rPr>
        <w:t>应当</w:t>
      </w:r>
      <w:r>
        <w:rPr>
          <w:rFonts w:hint="eastAsia" w:ascii="仿宋_GB2312" w:hAnsi="仿宋_GB2312" w:eastAsia="仿宋_GB2312" w:cs="仿宋_GB2312"/>
          <w:color w:val="auto"/>
          <w:kern w:val="2"/>
          <w:sz w:val="32"/>
          <w:szCs w:val="32"/>
          <w:highlight w:val="none"/>
          <w:u w:val="none" w:color="auto"/>
          <w:lang w:val="en-US" w:eastAsia="zh-CN" w:bidi="ar-SA"/>
        </w:rPr>
        <w:t>为</w:t>
      </w:r>
      <w:r>
        <w:rPr>
          <w:rFonts w:hint="eastAsia" w:ascii="仿宋_GB2312" w:hAnsi="仿宋_GB2312" w:eastAsia="仿宋_GB2312" w:cs="仿宋_GB2312"/>
          <w:color w:val="auto"/>
          <w:kern w:val="0"/>
          <w:sz w:val="32"/>
          <w:szCs w:val="32"/>
          <w:highlight w:val="none"/>
          <w:u w:val="none" w:color="auto"/>
          <w:lang w:val="en-US" w:eastAsia="zh-CN" w:bidi="ar"/>
        </w:rPr>
        <w:t>创新创业人才团队项目落地转化唯一主体</w:t>
      </w:r>
      <w:r>
        <w:rPr>
          <w:rFonts w:hint="default" w:ascii="仿宋_GB2312" w:hAnsi="仿宋_GB2312" w:eastAsia="仿宋_GB2312" w:cs="仿宋_GB2312"/>
          <w:color w:val="auto"/>
          <w:kern w:val="2"/>
          <w:sz w:val="32"/>
          <w:szCs w:val="32"/>
          <w:highlight w:val="none"/>
          <w:u w:val="none" w:color="auto"/>
          <w:lang w:val="en-US" w:eastAsia="zh-CN" w:bidi="ar-SA"/>
        </w:rPr>
        <w:t>，</w:t>
      </w:r>
      <w:r>
        <w:rPr>
          <w:rFonts w:hint="eastAsia" w:ascii="仿宋_GB2312" w:hAnsi="仿宋_GB2312" w:eastAsia="仿宋_GB2312" w:cs="仿宋_GB2312"/>
          <w:color w:val="auto"/>
          <w:kern w:val="2"/>
          <w:sz w:val="32"/>
          <w:szCs w:val="32"/>
          <w:highlight w:val="none"/>
          <w:u w:val="none" w:color="auto"/>
          <w:lang w:val="en-US" w:eastAsia="zh-CN" w:bidi="ar-SA"/>
        </w:rPr>
        <w:t>并</w:t>
      </w:r>
      <w:r>
        <w:rPr>
          <w:rFonts w:hint="default" w:ascii="仿宋_GB2312" w:hAnsi="仿宋_GB2312" w:eastAsia="仿宋_GB2312" w:cs="仿宋_GB2312"/>
          <w:color w:val="auto"/>
          <w:kern w:val="2"/>
          <w:sz w:val="32"/>
          <w:szCs w:val="32"/>
          <w:highlight w:val="none"/>
          <w:u w:val="none" w:color="auto"/>
          <w:lang w:val="en-US" w:eastAsia="zh-CN" w:bidi="ar-SA"/>
        </w:rPr>
        <w:t>拥有开展项目的必要条件</w:t>
      </w:r>
      <w:r>
        <w:rPr>
          <w:rFonts w:hint="eastAsia" w:ascii="仿宋_GB2312" w:hAnsi="仿宋_GB2312" w:eastAsia="仿宋_GB2312" w:cs="仿宋_GB2312"/>
          <w:color w:val="auto"/>
          <w:kern w:val="2"/>
          <w:sz w:val="32"/>
          <w:szCs w:val="32"/>
          <w:highlight w:val="none"/>
          <w:u w:val="none" w:color="auto"/>
          <w:lang w:val="en-US" w:eastAsia="zh-CN" w:bidi="ar-SA"/>
        </w:rPr>
        <w:t>，获得资助后需在光明从事经营活动不少于5年。</w:t>
      </w:r>
    </w:p>
    <w:p>
      <w:pPr>
        <w:keepNext w:val="0"/>
        <w:keepLines w:val="0"/>
        <w:pageBreakBefore w:val="0"/>
        <w:widowControl w:val="0"/>
        <w:shd w:val="clear" w:color="auto" w:fill="auto"/>
        <w:kinsoku/>
        <w:wordWrap/>
        <w:overflowPunct/>
        <w:topLinePunct w:val="0"/>
        <w:autoSpaceDE/>
        <w:autoSpaceDN/>
        <w:bidi w:val="0"/>
        <w:adjustRightInd/>
        <w:snapToGrid w:val="0"/>
        <w:spacing w:before="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八</w:t>
      </w:r>
      <w:r>
        <w:rPr>
          <w:rFonts w:hint="eastAsia" w:ascii="仿宋_GB2312" w:hAnsi="仿宋_GB2312" w:eastAsia="仿宋_GB2312" w:cs="仿宋_GB2312"/>
          <w:i w:val="0"/>
          <w:strike w:val="0"/>
          <w:color w:val="auto"/>
          <w:sz w:val="32"/>
          <w:highlight w:val="none"/>
          <w:u w:val="none" w:color="auto"/>
          <w:lang w:eastAsia="zh-CN"/>
        </w:rPr>
        <w:t>）除</w:t>
      </w:r>
      <w:r>
        <w:rPr>
          <w:rFonts w:hint="eastAsia" w:ascii="仿宋_GB2312" w:hAnsi="仿宋_GB2312" w:eastAsia="仿宋_GB2312" w:cs="仿宋_GB2312"/>
          <w:color w:val="auto"/>
          <w:sz w:val="32"/>
          <w:szCs w:val="32"/>
          <w:highlight w:val="none"/>
          <w:u w:val="none" w:color="auto"/>
          <w:lang w:eastAsia="zh-CN"/>
        </w:rPr>
        <w:t>一般项目中第（</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eastAsia="zh-CN"/>
        </w:rPr>
        <w:t>）类外，团队带头人或其他核心成员一半以上须全职在光明工作满一年。</w:t>
      </w:r>
    </w:p>
    <w:p>
      <w:pPr>
        <w:keepNext w:val="0"/>
        <w:keepLines w:val="0"/>
        <w:pageBreakBefore w:val="0"/>
        <w:widowControl w:val="0"/>
        <w:shd w:val="clear" w:color="auto" w:fill="auto"/>
        <w:kinsoku/>
        <w:wordWrap/>
        <w:overflowPunct/>
        <w:topLinePunct w:val="0"/>
        <w:autoSpaceDE/>
        <w:autoSpaceDN/>
        <w:bidi w:val="0"/>
        <w:adjustRightInd/>
        <w:snapToGrid w:val="0"/>
        <w:spacing w:before="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九</w:t>
      </w: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申报单位同一项目只能申报一次，已获当年光明区其他创新创业资助的不得重复申报。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黑体" w:hAnsi="黑体" w:eastAsia="黑体" w:cs="黑体"/>
          <w:color w:val="auto"/>
          <w:sz w:val="32"/>
          <w:szCs w:val="32"/>
          <w:highlight w:val="none"/>
          <w:u w:val="none" w:color="auto"/>
          <w:lang w:eastAsia="zh-CN"/>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十</w:t>
      </w: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color w:val="auto"/>
          <w:kern w:val="2"/>
          <w:sz w:val="32"/>
          <w:szCs w:val="32"/>
          <w:highlight w:val="none"/>
          <w:u w:val="none" w:color="auto"/>
          <w:lang w:val="en-US" w:eastAsia="zh-CN" w:bidi="ar-SA"/>
        </w:rPr>
        <w:t>申报单位于深圳市光明区以外获得</w:t>
      </w:r>
      <w:r>
        <w:rPr>
          <w:rFonts w:hint="eastAsia" w:ascii="仿宋_GB2312" w:hAnsi="仿宋_GB2312" w:eastAsia="仿宋_GB2312" w:cs="仿宋_GB2312"/>
          <w:color w:val="auto"/>
          <w:kern w:val="0"/>
          <w:sz w:val="32"/>
          <w:szCs w:val="32"/>
          <w:highlight w:val="none"/>
          <w:u w:val="none" w:color="auto"/>
          <w:lang w:val="en-US" w:eastAsia="zh-CN" w:bidi="ar"/>
        </w:rPr>
        <w:t>国家级、省级、市级创新创业团队项目立项的，需在项目执行期内将项目迁入光明区。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default" w:ascii="Times New Roman" w:hAnsi="Times New Roman" w:eastAsia="黑体" w:cs="Times New Roman"/>
          <w:color w:val="auto"/>
          <w:sz w:val="32"/>
          <w:szCs w:val="22"/>
          <w:highlight w:val="none"/>
          <w:lang w:bidi="ar"/>
        </w:rPr>
        <w:t>四、申报材料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r>
        <w:rPr>
          <w:rFonts w:hint="eastAsia" w:ascii="仿宋_GB2312" w:hAnsi="仿宋_GB2312" w:eastAsia="仿宋_GB2312" w:cs="仿宋_GB2312"/>
          <w:b w:val="0"/>
          <w:bCs w:val="0"/>
          <w:color w:val="auto"/>
          <w:sz w:val="32"/>
          <w:szCs w:val="32"/>
          <w:highlight w:val="none"/>
          <w:u w:val="none"/>
          <w:lang w:val="en-US" w:eastAsia="zh-CN"/>
        </w:rPr>
        <w:t>，院士团队创新创业项目需提供企业股权分配清单。</w:t>
      </w:r>
    </w:p>
    <w:p>
      <w:pPr>
        <w:keepNext w:val="0"/>
        <w:keepLines w:val="0"/>
        <w:pageBreakBefore w:val="0"/>
        <w:kinsoku/>
        <w:wordWrap/>
        <w:overflowPunct/>
        <w:topLinePunct w:val="0"/>
        <w:autoSpaceDE/>
        <w:autoSpaceDN/>
        <w:bidi w:val="0"/>
        <w:adjustRightInd/>
        <w:snapToGrid w:val="0"/>
        <w:spacing w:line="560" w:lineRule="exact"/>
        <w:ind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（三）上年度财务审计报告（经深圳市注册会计师协会备案、含有防伪标识封面）。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（五）国家级、省级或市级立项、评选资料或合同、协议等</w:t>
      </w:r>
      <w:r>
        <w:rPr>
          <w:rFonts w:hint="eastAsia" w:ascii="仿宋_GB2312" w:hAnsi="宋体" w:eastAsia="仿宋_GB2312" w:cs="仿宋_GB2312"/>
          <w:b w:val="0"/>
          <w:bCs w:val="0"/>
          <w:color w:val="auto"/>
          <w:kern w:val="0"/>
          <w:sz w:val="32"/>
          <w:szCs w:val="32"/>
          <w:highlight w:val="none"/>
          <w:lang w:val="en-US" w:eastAsia="zh-CN" w:bidi="ar"/>
        </w:rPr>
        <w:t>相关获奖证明材料</w:t>
      </w:r>
      <w:r>
        <w:rPr>
          <w:rFonts w:hint="eastAsia" w:ascii="仿宋_GB2312" w:hAnsi="仿宋_GB2312" w:eastAsia="仿宋_GB2312" w:cs="仿宋_GB2312"/>
          <w:b w:val="0"/>
          <w:bCs w:val="0"/>
          <w:color w:val="auto"/>
          <w:sz w:val="32"/>
          <w:szCs w:val="32"/>
          <w:highlight w:val="none"/>
          <w:lang w:val="en-US" w:eastAsia="zh-CN"/>
        </w:rPr>
        <w:t>（验原件，提交复印件，并加盖单位章）</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b w:val="0"/>
          <w:bCs w:val="0"/>
          <w:color w:val="auto"/>
          <w:kern w:val="0"/>
          <w:sz w:val="32"/>
          <w:szCs w:val="32"/>
          <w:highlight w:val="none"/>
          <w:lang w:val="en-US" w:eastAsia="zh-CN" w:bidi="ar"/>
        </w:rPr>
      </w:pPr>
      <w:r>
        <w:rPr>
          <w:rFonts w:hint="eastAsia" w:ascii="仿宋_GB2312" w:hAnsi="宋体" w:eastAsia="仿宋_GB2312" w:cs="仿宋_GB2312"/>
          <w:b w:val="0"/>
          <w:bCs w:val="0"/>
          <w:color w:val="auto"/>
          <w:kern w:val="0"/>
          <w:sz w:val="32"/>
          <w:szCs w:val="32"/>
          <w:highlight w:val="none"/>
          <w:lang w:val="en-US" w:eastAsia="zh-CN" w:bidi="ar"/>
        </w:rPr>
        <w:t>（六）申报日近三个月由税务部门开具的单位上年度完税证明复印件（非事业单位提供）及上级资助银行流水。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color w:val="auto"/>
          <w:kern w:val="0"/>
          <w:sz w:val="32"/>
          <w:szCs w:val="32"/>
          <w:highlight w:val="none"/>
          <w:lang w:val="en-US" w:eastAsia="zh-CN" w:bidi="ar"/>
        </w:rPr>
      </w:pPr>
      <w:r>
        <w:rPr>
          <w:rFonts w:hint="eastAsia" w:ascii="仿宋_GB2312" w:hAnsi="宋体" w:eastAsia="仿宋_GB2312" w:cs="仿宋_GB2312"/>
          <w:b w:val="0"/>
          <w:bCs w:val="0"/>
          <w:color w:val="auto"/>
          <w:kern w:val="0"/>
          <w:sz w:val="32"/>
          <w:szCs w:val="32"/>
          <w:highlight w:val="none"/>
          <w:lang w:val="en-US" w:eastAsia="zh-CN" w:bidi="ar"/>
        </w:rPr>
        <w:t>（七）申报日前一年的场地租赁合同、房租发票等租金缴纳凭证。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（九）其他必要的申请材料。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1项材料</w:t>
      </w:r>
      <w:r>
        <w:rPr>
          <w:rFonts w:hint="eastAsia" w:ascii="仿宋_GB2312" w:hAnsi="仿宋_GB2312" w:eastAsia="仿宋_GB2312" w:cs="仿宋_GB2312"/>
          <w:color w:val="auto"/>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eastAsia="zh-CN"/>
        </w:rPr>
      </w:pPr>
      <w:r>
        <w:rPr>
          <w:rFonts w:hint="default" w:ascii="Times New Roman" w:hAnsi="Times New Roman" w:eastAsia="黑体" w:cs="Times New Roman"/>
          <w:color w:val="auto"/>
          <w:sz w:val="32"/>
          <w:szCs w:val="22"/>
          <w:highlight w:val="none"/>
        </w:rPr>
        <w:t>五、申报时间</w:t>
      </w:r>
      <w:r>
        <w:rPr>
          <w:rFonts w:hint="default" w:ascii="Times New Roman" w:hAnsi="Times New Roman" w:eastAsia="黑体" w:cs="Times New Roman"/>
          <w:color w:val="auto"/>
          <w:sz w:val="32"/>
          <w:szCs w:val="22"/>
          <w:highlight w:val="none"/>
          <w:lang w:eastAsia="zh-CN"/>
        </w:rPr>
        <w:t>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（一）网络申报时间：</w:t>
      </w:r>
      <w:r>
        <w:rPr>
          <w:rFonts w:hint="eastAsia" w:ascii="仿宋_GB2312" w:hAnsi="仿宋_GB2312" w:eastAsia="仿宋_GB2312" w:cs="仿宋_GB2312"/>
          <w:color w:val="auto"/>
          <w:sz w:val="32"/>
          <w:szCs w:val="32"/>
          <w:highlight w:val="none"/>
          <w:lang w:val="en-US" w:eastAsia="zh-CN"/>
        </w:rPr>
        <w:t>2024年8月19日至2024年9月19日18时。</w:t>
      </w:r>
      <w:r>
        <w:rPr>
          <w:rFonts w:hint="eastAsia" w:ascii="仿宋_GB2312" w:hAnsi="仿宋_GB2312" w:eastAsia="仿宋_GB2312" w:cs="仿宋_GB2312"/>
          <w:color w:val="auto"/>
          <w:sz w:val="32"/>
          <w:szCs w:val="32"/>
          <w:highlight w:val="none"/>
          <w:lang w:eastAsia="zh-CN"/>
        </w:rPr>
        <w:t>（注：原则上超过网络申报受理的截止时间，不再受理新提交申请。网络申报受理截止前已在线提交申请，但后经形式审核被退回修改的，可于书面材料受理截止前再次提交修改后的材料进行形式审核，审核通过后方可按时向光明区科技创新局提交纸质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（二）纸质材料受理时间：</w:t>
      </w:r>
      <w:r>
        <w:rPr>
          <w:rFonts w:hint="eastAsia" w:ascii="仿宋_GB2312" w:hAnsi="仿宋_GB2312" w:eastAsia="仿宋_GB2312" w:cs="仿宋_GB2312"/>
          <w:color w:val="auto"/>
          <w:sz w:val="32"/>
          <w:szCs w:val="32"/>
          <w:highlight w:val="none"/>
          <w:lang w:val="en-US" w:eastAsia="zh-CN"/>
        </w:rPr>
        <w:t>2024年8月19日至2024年9月20日18时。</w:t>
      </w:r>
      <w:r>
        <w:rPr>
          <w:rFonts w:hint="eastAsia" w:ascii="仿宋_GB2312" w:hAnsi="仿宋_GB2312" w:eastAsia="仿宋_GB2312" w:cs="仿宋_GB2312"/>
          <w:color w:val="auto"/>
          <w:sz w:val="32"/>
          <w:szCs w:val="32"/>
          <w:highlight w:val="none"/>
          <w:lang w:eastAsia="zh-CN"/>
        </w:rPr>
        <w:t>（注：网上初审通过后请及时提交纸质材料，成功提交纸质材料的项目才算</w:t>
      </w:r>
      <w:bookmarkStart w:id="0" w:name="_GoBack"/>
      <w:bookmarkEnd w:id="0"/>
      <w:r>
        <w:rPr>
          <w:rFonts w:hint="eastAsia" w:ascii="仿宋_GB2312" w:hAnsi="仿宋_GB2312" w:eastAsia="仿宋_GB2312" w:cs="仿宋_GB2312"/>
          <w:color w:val="auto"/>
          <w:sz w:val="32"/>
          <w:szCs w:val="32"/>
          <w:highlight w:val="none"/>
          <w:lang w:eastAsia="zh-CN"/>
        </w:rPr>
        <w:t>完成申请。）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受理地点：深圳市光明区</w:t>
      </w:r>
      <w:r>
        <w:rPr>
          <w:rFonts w:hint="eastAsia" w:ascii="仿宋_GB2312" w:hAnsi="仿宋_GB2312" w:eastAsia="仿宋_GB2312" w:cs="仿宋_GB2312"/>
          <w:color w:val="auto"/>
          <w:sz w:val="32"/>
          <w:szCs w:val="32"/>
          <w:highlight w:val="none"/>
          <w:lang w:val="en-US" w:eastAsia="zh-CN"/>
        </w:rPr>
        <w:t>光明街道牛山路公共服务平台5楼创新综合部562室</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0755-21388802</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六、受理机关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深圳市光明区科技创新局。</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七</w:t>
      </w:r>
      <w:r>
        <w:rPr>
          <w:rFonts w:hint="eastAsia" w:ascii="CESI黑体-GB2312" w:hAnsi="CESI黑体-GB2312" w:eastAsia="CESI黑体-GB2312" w:cs="CESI黑体-GB2312"/>
          <w:color w:val="auto"/>
          <w:sz w:val="32"/>
          <w:szCs w:val="32"/>
          <w:highlight w:val="none"/>
        </w:rPr>
        <w:t>、办理流程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lang w:val="en"/>
        </w:rPr>
        <w:t>区科技</w:t>
      </w:r>
      <w:r>
        <w:rPr>
          <w:rFonts w:hint="eastAsia" w:ascii="仿宋_GB2312" w:hAnsi="仿宋_GB2312" w:eastAsia="仿宋_GB2312" w:cs="仿宋_GB2312"/>
          <w:color w:val="auto"/>
          <w:sz w:val="32"/>
          <w:szCs w:val="32"/>
          <w:highlight w:val="none"/>
          <w:u w:val="none"/>
          <w:lang w:val="en" w:eastAsia="zh-CN"/>
        </w:rPr>
        <w:t>创新局</w:t>
      </w:r>
      <w:r>
        <w:rPr>
          <w:rFonts w:hint="eastAsia" w:ascii="仿宋_GB2312" w:hAnsi="仿宋_GB2312" w:eastAsia="仿宋_GB2312" w:cs="仿宋_GB2312"/>
          <w:color w:val="auto"/>
          <w:sz w:val="32"/>
          <w:szCs w:val="32"/>
          <w:highlight w:val="none"/>
          <w:u w:val="none"/>
          <w:lang w:val="en"/>
        </w:rPr>
        <w:t>发布</w:t>
      </w:r>
      <w:r>
        <w:rPr>
          <w:rFonts w:hint="eastAsia" w:ascii="仿宋_GB2312" w:hAnsi="仿宋_GB2312" w:eastAsia="仿宋_GB2312" w:cs="仿宋_GB2312"/>
          <w:color w:val="auto"/>
          <w:sz w:val="32"/>
          <w:szCs w:val="32"/>
          <w:highlight w:val="none"/>
          <w:u w:val="none"/>
          <w:lang w:val="en" w:eastAsia="zh-CN"/>
        </w:rPr>
        <w:t>申报</w:t>
      </w:r>
      <w:r>
        <w:rPr>
          <w:rFonts w:hint="eastAsia" w:ascii="仿宋_GB2312" w:hAnsi="仿宋_GB2312" w:eastAsia="仿宋_GB2312" w:cs="仿宋_GB2312"/>
          <w:color w:val="auto"/>
          <w:sz w:val="32"/>
          <w:szCs w:val="32"/>
          <w:highlight w:val="none"/>
          <w:u w:val="none"/>
          <w:lang w:val="en"/>
        </w:rPr>
        <w:t>指南—</w:t>
      </w:r>
      <w:r>
        <w:rPr>
          <w:rFonts w:hint="eastAsia" w:ascii="仿宋_GB2312" w:hAnsi="仿宋_GB2312" w:eastAsia="仿宋_GB2312" w:cs="仿宋_GB2312"/>
          <w:color w:val="auto"/>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auto"/>
          <w:sz w:val="32"/>
          <w:szCs w:val="32"/>
          <w:highlight w:val="none"/>
          <w:u w:val="none"/>
          <w:lang w:val="en"/>
        </w:rPr>
        <w:t>—</w:t>
      </w:r>
      <w:r>
        <w:rPr>
          <w:rFonts w:hint="default" w:ascii="Times New Roman" w:hAnsi="Times New Roman" w:eastAsia="仿宋_GB2312" w:cs="Times New Roman"/>
          <w:color w:val="auto"/>
          <w:sz w:val="32"/>
          <w:szCs w:val="32"/>
          <w:highlight w:val="none"/>
          <w:u w:val="none"/>
          <w:lang w:eastAsia="zh-CN"/>
        </w:rPr>
        <w:t>区科技</w:t>
      </w:r>
      <w:r>
        <w:rPr>
          <w:rFonts w:hint="eastAsia" w:ascii="Times New Roman" w:hAnsi="Times New Roman" w:eastAsia="仿宋_GB2312" w:cs="Times New Roman"/>
          <w:color w:val="auto"/>
          <w:sz w:val="32"/>
          <w:szCs w:val="32"/>
          <w:highlight w:val="none"/>
          <w:u w:val="none"/>
          <w:lang w:eastAsia="zh-CN"/>
        </w:rPr>
        <w:t>创新局</w:t>
      </w:r>
      <w:r>
        <w:rPr>
          <w:rFonts w:hint="default" w:ascii="Times New Roman" w:hAnsi="Times New Roman" w:eastAsia="仿宋_GB2312" w:cs="Times New Roman"/>
          <w:color w:val="auto"/>
          <w:sz w:val="32"/>
          <w:szCs w:val="32"/>
          <w:highlight w:val="none"/>
          <w:u w:val="none"/>
          <w:lang w:eastAsia="zh-CN"/>
        </w:rPr>
        <w:t>初步审核</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征求相关部门意见</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auto"/>
          <w:sz w:val="32"/>
          <w:szCs w:val="32"/>
          <w:highlight w:val="none"/>
          <w:u w:val="none"/>
          <w:lang w:val="en"/>
        </w:rPr>
        <w:t>社会公示—</w:t>
      </w:r>
      <w:r>
        <w:rPr>
          <w:rFonts w:hint="eastAsia" w:ascii="仿宋_GB2312" w:hAnsi="仿宋_GB2312" w:eastAsia="仿宋_GB2312" w:cs="仿宋_GB2312"/>
          <w:color w:val="auto"/>
          <w:sz w:val="32"/>
          <w:szCs w:val="32"/>
          <w:highlight w:val="none"/>
          <w:u w:val="none"/>
          <w:lang w:val="en" w:eastAsia="zh-CN"/>
        </w:rPr>
        <w:t>下达项目资金计划—资金拨付</w:t>
      </w:r>
      <w:r>
        <w:rPr>
          <w:rFonts w:hint="eastAsia" w:ascii="仿宋_GB2312" w:hAnsi="仿宋_GB2312" w:eastAsia="仿宋_GB2312" w:cs="仿宋_GB2312"/>
          <w:color w:val="auto"/>
          <w:sz w:val="32"/>
          <w:szCs w:val="32"/>
          <w:highlight w:val="none"/>
          <w:u w:val="none"/>
          <w:lang w:val="e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八</w:t>
      </w:r>
      <w:r>
        <w:rPr>
          <w:rFonts w:hint="eastAsia" w:ascii="CESI黑体-GB2312" w:hAnsi="CESI黑体-GB2312" w:eastAsia="CESI黑体-GB2312" w:cs="CESI黑体-GB2312"/>
          <w:color w:val="auto"/>
          <w:sz w:val="32"/>
          <w:szCs w:val="32"/>
          <w:highlight w:val="none"/>
        </w:rPr>
        <w:t>、注意事项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eastAsia" w:ascii="仿宋_GB2312" w:hAnsi="仿宋_GB2312" w:eastAsia="仿宋_GB2312" w:cs="仿宋_GB2312"/>
          <w:color w:val="auto"/>
          <w:sz w:val="32"/>
          <w:szCs w:val="32"/>
          <w:highlight w:val="none"/>
        </w:rPr>
        <w:t>申报单位对申报材料的合法性、真实性、准确性和完整性负责。</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eastAsia" w:ascii="仿宋_GB2312" w:hAnsi="仿宋_GB2312" w:eastAsia="仿宋_GB2312" w:cs="仿宋_GB2312"/>
          <w:color w:val="auto"/>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eastAsia="zh-CN"/>
        </w:rPr>
        <w:t>（四）</w:t>
      </w:r>
      <w:r>
        <w:rPr>
          <w:rFonts w:hint="eastAsia" w:ascii="仿宋_GB2312" w:hAnsi="仿宋_GB2312" w:eastAsia="仿宋_GB2312" w:cs="仿宋_GB2312"/>
          <w:color w:val="auto"/>
          <w:sz w:val="32"/>
          <w:szCs w:val="32"/>
          <w:highlight w:val="none"/>
        </w:rPr>
        <w:t>项目申报单位需提交审计报告的，应当提供</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highlight w:val="none"/>
          <w:lang w:val="en-US" w:eastAsia="zh-CN"/>
        </w:rPr>
        <w:t>通过注册会计师行业统一监管平台报备</w:t>
      </w:r>
      <w:r>
        <w:rPr>
          <w:rFonts w:hint="eastAsia" w:ascii="仿宋_GB2312" w:hAnsi="仿宋_GB2312" w:eastAsia="仿宋_GB2312" w:cs="仿宋_GB2312"/>
          <w:color w:val="auto"/>
          <w:sz w:val="32"/>
          <w:szCs w:val="32"/>
          <w:highlight w:val="none"/>
        </w:rPr>
        <w:t>的审计报告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kinsoku/>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本项目与光明区其他同类别资助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不重复资助，由</w:t>
      </w:r>
      <w:r>
        <w:rPr>
          <w:rFonts w:hint="eastAsia" w:ascii="仿宋_GB2312" w:hAnsi="仿宋_GB2312" w:eastAsia="仿宋_GB2312" w:cs="仿宋_GB2312"/>
          <w:color w:val="auto"/>
          <w:sz w:val="32"/>
          <w:szCs w:val="32"/>
          <w:highlight w:val="none"/>
          <w:lang w:val="en-US" w:eastAsia="zh-CN"/>
        </w:rPr>
        <w:t>申报单位自行选择其中一项政策进行申报；</w:t>
      </w:r>
      <w:r>
        <w:rPr>
          <w:rFonts w:hint="eastAsia" w:eastAsia="仿宋_GB2312" w:cs="Times New Roman"/>
          <w:color w:val="auto"/>
          <w:sz w:val="32"/>
          <w:szCs w:val="32"/>
          <w:highlight w:val="none"/>
          <w:lang w:val="en-US" w:eastAsia="zh-CN"/>
        </w:rPr>
        <w:t>已享受区政府专项支持的项目，不再纳入本指南支持范围；</w:t>
      </w:r>
      <w:r>
        <w:rPr>
          <w:rFonts w:hint="eastAsia" w:ascii="仿宋_GB2312" w:hAnsi="仿宋_GB2312" w:eastAsia="仿宋_GB2312" w:cs="仿宋_GB2312"/>
          <w:color w:val="auto"/>
          <w:sz w:val="32"/>
          <w:szCs w:val="32"/>
          <w:highlight w:val="none"/>
          <w:lang w:val="en-US" w:eastAsia="zh-CN"/>
        </w:rPr>
        <w:t>本指南实施期间如遇政策调整的，可进行相应调整。</w:t>
      </w:r>
      <w: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光明区经济发展专项资金管理办法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eastAsia="zh-CN"/>
        </w:rPr>
        <w:t>《深圳市光明区关于促进科技创新发展的若干措施》《深圳市光明区促进科技创新发展扶持计划操作规程》</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出以下声明和保证：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w:t>
      </w:r>
      <w:r>
        <w:rPr>
          <w:rFonts w:hint="eastAsia" w:ascii="仿宋_GB2312" w:hAnsi="仿宋_GB2312" w:eastAsia="仿宋_GB2312" w:cs="仿宋_GB2312"/>
          <w:color w:val="auto"/>
          <w:sz w:val="28"/>
          <w:szCs w:val="28"/>
          <w:highlight w:val="none"/>
          <w:lang w:val="en-US" w:eastAsia="zh-CN"/>
        </w:rPr>
        <w:t>国内外高水平人才团队创新创业资助</w:t>
      </w: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不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w:t>
      </w:r>
      <w:r>
        <w:rPr>
          <w:rFonts w:hint="eastAsia" w:ascii="仿宋_GB2312" w:hAnsi="仿宋_GB2312" w:eastAsia="仿宋_GB2312" w:cs="仿宋_GB2312"/>
          <w:color w:val="auto"/>
          <w:sz w:val="28"/>
          <w:szCs w:val="28"/>
          <w:highlight w:val="none"/>
          <w:lang w:val="en-US" w:eastAsia="zh-CN"/>
        </w:rPr>
        <w:t>五年内</w:t>
      </w:r>
      <w:r>
        <w:rPr>
          <w:rFonts w:hint="eastAsia" w:ascii="仿宋_GB2312" w:hAnsi="仿宋_GB2312" w:eastAsia="仿宋_GB2312" w:cs="仿宋_GB2312"/>
          <w:color w:val="auto"/>
          <w:sz w:val="28"/>
          <w:szCs w:val="28"/>
          <w:lang w:val="en-US" w:eastAsia="zh-CN"/>
        </w:rPr>
        <w:t>①若注册地在光明的，保持注册地在光明区的稳定，并继续履行在光明区的纳税义务和统计义务；②在光明区实际经营。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color w:val="auto"/>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93CC"/>
    <w:rsid w:val="07CEF138"/>
    <w:rsid w:val="0F797745"/>
    <w:rsid w:val="0FEF690D"/>
    <w:rsid w:val="17FF6308"/>
    <w:rsid w:val="19E745FE"/>
    <w:rsid w:val="1FEDDCE3"/>
    <w:rsid w:val="1FFBBF06"/>
    <w:rsid w:val="25FB9112"/>
    <w:rsid w:val="27B70DFE"/>
    <w:rsid w:val="29EF6F64"/>
    <w:rsid w:val="2A3FA083"/>
    <w:rsid w:val="2BF52295"/>
    <w:rsid w:val="2DDA9609"/>
    <w:rsid w:val="2F4A1A21"/>
    <w:rsid w:val="34DFEB45"/>
    <w:rsid w:val="352F76FB"/>
    <w:rsid w:val="357E1E8F"/>
    <w:rsid w:val="35F7DBCA"/>
    <w:rsid w:val="35FE5169"/>
    <w:rsid w:val="36FF1F40"/>
    <w:rsid w:val="37F513FF"/>
    <w:rsid w:val="397EAB01"/>
    <w:rsid w:val="3AF73737"/>
    <w:rsid w:val="3B7B3F04"/>
    <w:rsid w:val="3BA92B1E"/>
    <w:rsid w:val="3BE78ADA"/>
    <w:rsid w:val="3BFD5F35"/>
    <w:rsid w:val="3CF94BD9"/>
    <w:rsid w:val="3CFFB16A"/>
    <w:rsid w:val="3DFB6D62"/>
    <w:rsid w:val="3F5D0344"/>
    <w:rsid w:val="3F5EE876"/>
    <w:rsid w:val="3FDF93CC"/>
    <w:rsid w:val="3FF6B842"/>
    <w:rsid w:val="47E79A64"/>
    <w:rsid w:val="4B2F206C"/>
    <w:rsid w:val="4D17E13E"/>
    <w:rsid w:val="4F76C6C9"/>
    <w:rsid w:val="4FBFBC4D"/>
    <w:rsid w:val="537F6AA3"/>
    <w:rsid w:val="574CA371"/>
    <w:rsid w:val="57672E12"/>
    <w:rsid w:val="5A2E2F3F"/>
    <w:rsid w:val="5BD713CA"/>
    <w:rsid w:val="5D7FC57B"/>
    <w:rsid w:val="5DF38349"/>
    <w:rsid w:val="5F2D7811"/>
    <w:rsid w:val="5FB6BE02"/>
    <w:rsid w:val="5FDF7975"/>
    <w:rsid w:val="5FE5BB10"/>
    <w:rsid w:val="5FE93E0B"/>
    <w:rsid w:val="5FFF342B"/>
    <w:rsid w:val="5FFF7A6E"/>
    <w:rsid w:val="63F3B8C6"/>
    <w:rsid w:val="63FE4C22"/>
    <w:rsid w:val="65D7E033"/>
    <w:rsid w:val="65FB3055"/>
    <w:rsid w:val="66FFB9E6"/>
    <w:rsid w:val="67EFD4E3"/>
    <w:rsid w:val="68FFA83E"/>
    <w:rsid w:val="6BFECC48"/>
    <w:rsid w:val="6CCFB352"/>
    <w:rsid w:val="6D7F99E9"/>
    <w:rsid w:val="6E7F4E40"/>
    <w:rsid w:val="6EAFCC29"/>
    <w:rsid w:val="6F7B65E5"/>
    <w:rsid w:val="6FBFEF3E"/>
    <w:rsid w:val="6FDE5F22"/>
    <w:rsid w:val="6FF5D365"/>
    <w:rsid w:val="75EF6C65"/>
    <w:rsid w:val="75F78BE4"/>
    <w:rsid w:val="767B71AE"/>
    <w:rsid w:val="769F52A6"/>
    <w:rsid w:val="778B17E7"/>
    <w:rsid w:val="77F7AC6A"/>
    <w:rsid w:val="79B78EFF"/>
    <w:rsid w:val="79B8379B"/>
    <w:rsid w:val="79D36DF9"/>
    <w:rsid w:val="7ABF18F7"/>
    <w:rsid w:val="7BA45969"/>
    <w:rsid w:val="7BE9D20C"/>
    <w:rsid w:val="7BFFE265"/>
    <w:rsid w:val="7C4E7B4A"/>
    <w:rsid w:val="7CBF05F1"/>
    <w:rsid w:val="7CD34175"/>
    <w:rsid w:val="7D7F67D3"/>
    <w:rsid w:val="7D7F765C"/>
    <w:rsid w:val="7DDF1FB7"/>
    <w:rsid w:val="7DFF1A15"/>
    <w:rsid w:val="7E46E04D"/>
    <w:rsid w:val="7EA700B7"/>
    <w:rsid w:val="7EB6BFEA"/>
    <w:rsid w:val="7EE7ED4E"/>
    <w:rsid w:val="7EF3EF29"/>
    <w:rsid w:val="7EF4AAF8"/>
    <w:rsid w:val="7F3B2889"/>
    <w:rsid w:val="7F7B5DBB"/>
    <w:rsid w:val="7F7D6F51"/>
    <w:rsid w:val="7F8EA0FC"/>
    <w:rsid w:val="7FBF17BA"/>
    <w:rsid w:val="7FBFB75A"/>
    <w:rsid w:val="7FCD7AF8"/>
    <w:rsid w:val="7FCED91D"/>
    <w:rsid w:val="7FDB067F"/>
    <w:rsid w:val="7FE5975A"/>
    <w:rsid w:val="7FE9C713"/>
    <w:rsid w:val="7FF877C0"/>
    <w:rsid w:val="7FFA8206"/>
    <w:rsid w:val="7FFD941B"/>
    <w:rsid w:val="7FFD9E25"/>
    <w:rsid w:val="7FFE7031"/>
    <w:rsid w:val="7FFFE544"/>
    <w:rsid w:val="8DFBDCCB"/>
    <w:rsid w:val="9DFEEA3E"/>
    <w:rsid w:val="9E9DE5FB"/>
    <w:rsid w:val="9EFD2571"/>
    <w:rsid w:val="A2798785"/>
    <w:rsid w:val="A7579257"/>
    <w:rsid w:val="ADFFD4D0"/>
    <w:rsid w:val="AFD18466"/>
    <w:rsid w:val="AFF578E9"/>
    <w:rsid w:val="B0BF6296"/>
    <w:rsid w:val="B1FFD550"/>
    <w:rsid w:val="B3BFCC26"/>
    <w:rsid w:val="B7CB36B2"/>
    <w:rsid w:val="B9779F86"/>
    <w:rsid w:val="B9EF0DC7"/>
    <w:rsid w:val="BB633436"/>
    <w:rsid w:val="BDDEFEED"/>
    <w:rsid w:val="BE6B0BCB"/>
    <w:rsid w:val="BEC4DF3E"/>
    <w:rsid w:val="BEFD538E"/>
    <w:rsid w:val="BEFEB9B4"/>
    <w:rsid w:val="BEFF518D"/>
    <w:rsid w:val="BF2FBB96"/>
    <w:rsid w:val="BFD7FD31"/>
    <w:rsid w:val="BFDB7264"/>
    <w:rsid w:val="BFEBE4BC"/>
    <w:rsid w:val="BFF47F3F"/>
    <w:rsid w:val="BFFB7807"/>
    <w:rsid w:val="BFFDADEB"/>
    <w:rsid w:val="BFFE11B2"/>
    <w:rsid w:val="C7EF5F19"/>
    <w:rsid w:val="D7DA7AC5"/>
    <w:rsid w:val="D8F4801F"/>
    <w:rsid w:val="DAAFEB80"/>
    <w:rsid w:val="DBBE4F9E"/>
    <w:rsid w:val="DCBDE98C"/>
    <w:rsid w:val="DEF4DD68"/>
    <w:rsid w:val="DF0F8825"/>
    <w:rsid w:val="DF7F69F1"/>
    <w:rsid w:val="DF96CA2A"/>
    <w:rsid w:val="DFBBE89D"/>
    <w:rsid w:val="DFCAC2CD"/>
    <w:rsid w:val="DFFC063B"/>
    <w:rsid w:val="DFFDE8A8"/>
    <w:rsid w:val="DFFF4CF6"/>
    <w:rsid w:val="DFFF6791"/>
    <w:rsid w:val="E4FA26ED"/>
    <w:rsid w:val="E7665380"/>
    <w:rsid w:val="ED3BCF0B"/>
    <w:rsid w:val="EDFB8473"/>
    <w:rsid w:val="EF5B54E7"/>
    <w:rsid w:val="EFA7F57E"/>
    <w:rsid w:val="EFAEA8E6"/>
    <w:rsid w:val="EFBB2E51"/>
    <w:rsid w:val="EFDD4026"/>
    <w:rsid w:val="EFDF7EB8"/>
    <w:rsid w:val="EFFBCCE9"/>
    <w:rsid w:val="F3FA67BC"/>
    <w:rsid w:val="F5FD2F20"/>
    <w:rsid w:val="F60F1924"/>
    <w:rsid w:val="F75E5A6F"/>
    <w:rsid w:val="F7F3823F"/>
    <w:rsid w:val="F7FB7865"/>
    <w:rsid w:val="F7FDF558"/>
    <w:rsid w:val="F99A192D"/>
    <w:rsid w:val="F9FFD1E4"/>
    <w:rsid w:val="FA39C6EA"/>
    <w:rsid w:val="FAFEE317"/>
    <w:rsid w:val="FB7E3795"/>
    <w:rsid w:val="FBEF2DFC"/>
    <w:rsid w:val="FBF7B9D2"/>
    <w:rsid w:val="FC5947C7"/>
    <w:rsid w:val="FDF71A72"/>
    <w:rsid w:val="FDFCD059"/>
    <w:rsid w:val="FE34A53A"/>
    <w:rsid w:val="FEA6DE13"/>
    <w:rsid w:val="FEAB1AAD"/>
    <w:rsid w:val="FEC7946F"/>
    <w:rsid w:val="FECC90BB"/>
    <w:rsid w:val="FEEEF5F2"/>
    <w:rsid w:val="FEF518D6"/>
    <w:rsid w:val="FEFBDB90"/>
    <w:rsid w:val="FEFCD04C"/>
    <w:rsid w:val="FEFDB58F"/>
    <w:rsid w:val="FF7BD5F0"/>
    <w:rsid w:val="FF8D733A"/>
    <w:rsid w:val="FFAF00E0"/>
    <w:rsid w:val="FFBBB539"/>
    <w:rsid w:val="FFEF99AD"/>
    <w:rsid w:val="FFF71E72"/>
    <w:rsid w:val="FFF931D7"/>
    <w:rsid w:val="FFF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4">
    <w:name w:val="Body Text"/>
    <w:basedOn w:val="1"/>
    <w:next w:val="5"/>
    <w:qFormat/>
    <w:uiPriority w:val="0"/>
    <w:rPr>
      <w:rFonts w:ascii="仿宋_GB2312" w:hAnsi="仿宋_GB2312" w:eastAsia="仿宋_GB2312" w:cs="仿宋_GB2312"/>
      <w:szCs w:val="32"/>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2024-05-16T05:26:00Z</dcterms:created>
  <dc:creator>fa</dc:creator>
  <cp:lastModifiedBy>huawei</cp:lastModifiedBy>
  <dcterms:modified xsi:type="dcterms:W3CDTF">2024-08-13T12:21:16Z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