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Times New Roman"/>
          <w:bCs/>
          <w:color w:val="auto"/>
          <w:sz w:val="44"/>
          <w:szCs w:val="44"/>
          <w:highlight w:val="none"/>
          <w:lang w:eastAsia="zh-CN"/>
        </w:rPr>
      </w:pPr>
      <w:bookmarkStart w:id="0" w:name="_GoBack"/>
      <w:bookmarkEnd w:id="0"/>
      <w:r>
        <w:rPr>
          <w:rFonts w:hint="default" w:ascii="Times New Roman" w:hAnsi="Times New Roman" w:eastAsia="方正小标宋简体" w:cs="Times New Roman"/>
          <w:bCs/>
          <w:color w:val="auto"/>
          <w:sz w:val="44"/>
          <w:szCs w:val="44"/>
          <w:highlight w:val="none"/>
        </w:rPr>
        <w:t>光明区促进科技创新发展扶持计划</w:t>
      </w:r>
      <w:r>
        <w:rPr>
          <w:rFonts w:hint="eastAsia" w:ascii="Times New Roman" w:hAnsi="Times New Roman" w:eastAsia="方正小标宋简体" w:cs="Times New Roman"/>
          <w:bCs/>
          <w:color w:val="auto"/>
          <w:sz w:val="44"/>
          <w:szCs w:val="44"/>
          <w:highlight w:val="none"/>
          <w:lang w:eastAsia="zh-CN"/>
        </w:rPr>
        <w:t>高水平科技交流活动资助项目</w:t>
      </w:r>
    </w:p>
    <w:p>
      <w:pPr>
        <w:pStyle w:val="6"/>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申报指南</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对具有国际影响力的标志性国际科技交流活动，按活动实际发生费用的50%，给予最高500万元资助；对具有重大影响力的全国性科技交流活动，按活动实际发生费用的50%，给予最高300万元资助；对有助于促进光明区重点产业发展的科技交流活动，按活动实际支出费用的50%，给予最高100万元资助，以上活动需经光明区科技主管部门事前审定。</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highlight w:val="none"/>
          <w:u w:val="none"/>
          <w:lang w:val="en-US" w:eastAsia="zh-CN"/>
        </w:rPr>
        <w:t>（二）支持方式及数量：</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事后资助。</w:t>
      </w:r>
      <w:r>
        <w:rPr>
          <w:rFonts w:hint="eastAsia" w:ascii="仿宋_GB2312" w:hAnsi="仿宋_GB2312" w:eastAsia="仿宋_GB2312" w:cs="仿宋_GB2312"/>
          <w:i w:val="0"/>
          <w:strike w:val="0"/>
          <w:color w:val="auto"/>
          <w:sz w:val="32"/>
          <w:highlight w:val="none"/>
          <w:u w:val="none"/>
          <w:lang w:val="en-US" w:eastAsia="zh-CN"/>
        </w:rPr>
        <w:t>属核准类项目。</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资助金额受年度财政预算安排总量控制。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i w:val="0"/>
          <w:strike w:val="0"/>
          <w:color w:val="auto"/>
          <w:sz w:val="32"/>
          <w:highlight w:val="none"/>
          <w:u w:val="none"/>
          <w:lang w:eastAsia="zh-CN"/>
        </w:rPr>
        <w:t>申报的项目应符合国家、省、市、区产业政策和经济社会发展要求</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i w:val="0"/>
          <w:strike w:val="0"/>
          <w:color w:val="auto"/>
          <w:kern w:val="2"/>
          <w:sz w:val="32"/>
          <w:szCs w:val="24"/>
          <w:highlight w:val="none"/>
          <w:u w:val="none"/>
          <w:lang w:val="en-US" w:eastAsia="zh-CN" w:bidi="ar-SA"/>
        </w:rPr>
        <w:t>（五）</w:t>
      </w:r>
      <w:r>
        <w:rPr>
          <w:rFonts w:hint="eastAsia" w:ascii="仿宋_GB2312" w:hAnsi="仿宋_GB2312" w:eastAsia="仿宋_GB2312" w:cs="仿宋_GB2312"/>
          <w:color w:val="auto"/>
          <w:kern w:val="2"/>
          <w:sz w:val="32"/>
          <w:szCs w:val="32"/>
          <w:highlight w:val="none"/>
          <w:lang w:val="en-US" w:eastAsia="zh-CN" w:bidi="ar-SA"/>
        </w:rPr>
        <w:t>科技交流活动的举办地原则上应在光明区。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val="0"/>
          <w:color w:val="auto"/>
          <w:kern w:val="2"/>
          <w:sz w:val="32"/>
          <w:szCs w:val="21"/>
          <w:highlight w:val="none"/>
          <w:u w:val="none"/>
          <w:lang w:val="en-US" w:eastAsia="zh-CN" w:bidi="ar-SA"/>
        </w:rPr>
      </w:pPr>
      <w:r>
        <w:rPr>
          <w:rFonts w:hint="eastAsia" w:ascii="仿宋_GB2312" w:hAnsi="仿宋_GB2312" w:eastAsia="仿宋_GB2312" w:cs="仿宋_GB2312"/>
          <w:i w:val="0"/>
          <w:strike w:val="0"/>
          <w:color w:val="auto"/>
          <w:kern w:val="2"/>
          <w:sz w:val="32"/>
          <w:szCs w:val="24"/>
          <w:highlight w:val="none"/>
          <w:u w:val="none"/>
          <w:lang w:val="en-US" w:eastAsia="zh-CN" w:bidi="ar-SA"/>
        </w:rPr>
        <w:t>（六）</w:t>
      </w:r>
      <w:r>
        <w:rPr>
          <w:rFonts w:hint="eastAsia" w:ascii="仿宋_GB2312" w:hAnsi="仿宋_GB2312" w:eastAsia="仿宋_GB2312" w:cs="仿宋_GB2312"/>
          <w:kern w:val="2"/>
          <w:sz w:val="32"/>
          <w:szCs w:val="32"/>
          <w:highlight w:val="none"/>
          <w:u w:val="none"/>
          <w:lang w:val="en-US" w:eastAsia="zh-CN" w:bidi="ar-SA"/>
        </w:rPr>
        <w:t>申报单位为科技交流活动的主办单位或承办单位，举办的</w:t>
      </w:r>
      <w:r>
        <w:rPr>
          <w:rFonts w:hint="eastAsia" w:ascii="仿宋_GB2312" w:hAnsi="仿宋_GB2312" w:eastAsia="仿宋_GB2312" w:cs="仿宋_GB2312"/>
          <w:b w:val="0"/>
          <w:bCs w:val="0"/>
          <w:snapToGrid w:val="0"/>
          <w:color w:val="auto"/>
          <w:kern w:val="2"/>
          <w:sz w:val="32"/>
          <w:szCs w:val="32"/>
          <w:highlight w:val="none"/>
          <w:u w:val="none"/>
          <w:lang w:val="en" w:eastAsia="zh-CN" w:bidi="ar-SA"/>
        </w:rPr>
        <w:t>科技交流活动应</w:t>
      </w:r>
      <w:r>
        <w:rPr>
          <w:rFonts w:hint="eastAsia" w:ascii="仿宋_GB2312" w:hAnsi="仿宋_GB2312" w:eastAsia="仿宋_GB2312" w:cs="仿宋_GB2312"/>
          <w:b w:val="0"/>
          <w:bCs w:val="0"/>
          <w:color w:val="auto"/>
          <w:sz w:val="32"/>
          <w:szCs w:val="32"/>
          <w:highlight w:val="none"/>
          <w:u w:val="none"/>
          <w:lang w:val="en-US" w:eastAsia="zh-CN"/>
        </w:rPr>
        <w:t>为2022年1月1日及以后，且</w:t>
      </w:r>
      <w:r>
        <w:rPr>
          <w:rFonts w:hint="eastAsia" w:ascii="仿宋_GB2312" w:hAnsi="仿宋_GB2312" w:eastAsia="仿宋_GB2312" w:cs="仿宋_GB2312"/>
          <w:bCs/>
          <w:color w:val="auto"/>
          <w:kern w:val="2"/>
          <w:sz w:val="32"/>
          <w:szCs w:val="21"/>
          <w:highlight w:val="none"/>
          <w:u w:val="none"/>
          <w:lang w:val="en-US" w:eastAsia="zh-CN" w:bidi="ar-SA"/>
        </w:rPr>
        <w:t>经区科技主管部门备案</w:t>
      </w:r>
      <w:r>
        <w:rPr>
          <w:rFonts w:hint="eastAsia" w:ascii="仿宋_GB2312" w:hAnsi="仿宋_GB2312" w:eastAsia="仿宋_GB2312" w:cs="仿宋_GB2312"/>
          <w:bCs w:val="0"/>
          <w:color w:val="auto"/>
          <w:kern w:val="2"/>
          <w:sz w:val="32"/>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strike w:val="0"/>
          <w:color w:val="auto"/>
          <w:kern w:val="2"/>
          <w:sz w:val="32"/>
          <w:szCs w:val="24"/>
          <w:highlight w:val="yellow"/>
          <w:u w:val="none"/>
          <w:lang w:val="en-US" w:eastAsia="zh-CN" w:bidi="ar-SA"/>
        </w:rPr>
      </w:pPr>
      <w:r>
        <w:rPr>
          <w:rFonts w:hint="eastAsia" w:ascii="仿宋_GB2312" w:hAnsi="仿宋_GB2312" w:eastAsia="仿宋_GB2312" w:cs="仿宋_GB2312"/>
          <w:i w:val="0"/>
          <w:strike w:val="0"/>
          <w:color w:val="auto"/>
          <w:kern w:val="2"/>
          <w:sz w:val="32"/>
          <w:szCs w:val="24"/>
          <w:highlight w:val="none"/>
          <w:u w:val="none"/>
          <w:lang w:val="en-US" w:eastAsia="zh-CN" w:bidi="ar-SA"/>
        </w:rPr>
        <w:t>（七）申报单位举办的科技交流活动须符合国家、省、市、区关于进一步加强论坛活动规范管理的相关要求。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i w:val="0"/>
          <w:strike w:val="0"/>
          <w:color w:val="auto"/>
          <w:kern w:val="2"/>
          <w:sz w:val="32"/>
          <w:szCs w:val="24"/>
          <w:highlight w:val="none"/>
          <w:u w:val="none"/>
          <w:lang w:val="en-US" w:eastAsia="zh-CN" w:bidi="ar-SA"/>
        </w:rPr>
        <w:t>（</w:t>
      </w:r>
      <w:r>
        <w:rPr>
          <w:rFonts w:hint="default" w:ascii="仿宋_GB2312" w:hAnsi="仿宋_GB2312" w:eastAsia="仿宋_GB2312" w:cs="仿宋_GB2312"/>
          <w:i w:val="0"/>
          <w:strike w:val="0"/>
          <w:color w:val="auto"/>
          <w:kern w:val="2"/>
          <w:sz w:val="32"/>
          <w:szCs w:val="24"/>
          <w:highlight w:val="none"/>
          <w:u w:val="none"/>
          <w:lang w:val="en" w:eastAsia="zh-CN" w:bidi="ar-SA"/>
        </w:rPr>
        <w:t>八</w:t>
      </w:r>
      <w:r>
        <w:rPr>
          <w:rFonts w:hint="eastAsia" w:ascii="仿宋_GB2312" w:hAnsi="仿宋_GB2312" w:eastAsia="仿宋_GB2312" w:cs="仿宋_GB2312"/>
          <w:i w:val="0"/>
          <w:strike w:val="0"/>
          <w:color w:val="auto"/>
          <w:kern w:val="2"/>
          <w:sz w:val="32"/>
          <w:szCs w:val="24"/>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不同活动类型申报条件如下：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申报</w:t>
      </w:r>
      <w:r>
        <w:rPr>
          <w:rFonts w:hint="eastAsia" w:ascii="仿宋_GB2312" w:hAnsi="仿宋_GB2312" w:eastAsia="仿宋_GB2312" w:cs="仿宋_GB2312"/>
          <w:b/>
          <w:bCs/>
          <w:snapToGrid w:val="0"/>
          <w:color w:val="auto"/>
          <w:kern w:val="0"/>
          <w:sz w:val="32"/>
          <w:szCs w:val="32"/>
          <w:highlight w:val="none"/>
          <w:u w:val="none"/>
          <w:shd w:val="clear" w:color="auto" w:fill="FFFFFF"/>
          <w:lang w:val="en-US" w:eastAsia="zh-CN" w:bidi="ar"/>
        </w:rPr>
        <w:t>标志性国际科技交流活动的须符合以下条件</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（1）经机构编制管理部门批准成立的</w:t>
      </w:r>
      <w:r>
        <w:rPr>
          <w:rFonts w:hint="default" w:ascii="仿宋_GB2312" w:hAnsi="仿宋_GB2312" w:eastAsia="仿宋_GB2312" w:cs="仿宋_GB2312"/>
          <w:snapToGrid w:val="0"/>
          <w:color w:val="auto"/>
          <w:kern w:val="0"/>
          <w:sz w:val="32"/>
          <w:szCs w:val="32"/>
          <w:highlight w:val="none"/>
          <w:u w:val="none"/>
          <w:shd w:val="clear" w:color="auto" w:fill="FFFFFF"/>
          <w:lang w:val="en" w:eastAsia="zh-CN" w:bidi="ar"/>
        </w:rPr>
        <w:t>国家级</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行政事业单位、科技类社会团体批复同意或备案举办的科技交流活动。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（2）活动人数不少于300人，其中</w:t>
      </w:r>
      <w:r>
        <w:rPr>
          <w:rFonts w:hint="default" w:ascii="Times New Roman" w:hAnsi="Times New Roman" w:eastAsia="仿宋_GB2312" w:cs="Times New Roman"/>
          <w:color w:val="auto"/>
          <w:kern w:val="2"/>
          <w:sz w:val="32"/>
          <w:szCs w:val="32"/>
          <w:highlight w:val="none"/>
          <w:lang w:val="en-US" w:eastAsia="zh-CN" w:bidi="ar-SA"/>
        </w:rPr>
        <w:t>具有</w:t>
      </w:r>
      <w:r>
        <w:rPr>
          <w:rFonts w:hint="eastAsia" w:ascii="Times New Roman" w:hAnsi="Times New Roman" w:eastAsia="仿宋_GB2312" w:cs="Times New Roman"/>
          <w:color w:val="auto"/>
          <w:kern w:val="2"/>
          <w:sz w:val="32"/>
          <w:szCs w:val="32"/>
          <w:highlight w:val="none"/>
          <w:lang w:val="en-US" w:eastAsia="zh-CN" w:bidi="ar-SA"/>
        </w:rPr>
        <w:t>国际</w:t>
      </w:r>
      <w:r>
        <w:rPr>
          <w:rFonts w:hint="default" w:ascii="Times New Roman" w:hAnsi="Times New Roman" w:eastAsia="仿宋_GB2312" w:cs="Times New Roman"/>
          <w:color w:val="auto"/>
          <w:kern w:val="2"/>
          <w:sz w:val="32"/>
          <w:szCs w:val="32"/>
          <w:highlight w:val="none"/>
          <w:lang w:val="en-US" w:eastAsia="zh-CN" w:bidi="ar-SA"/>
        </w:rPr>
        <w:t>较高行业地位</w:t>
      </w:r>
      <w:r>
        <w:rPr>
          <w:rFonts w:hint="eastAsia" w:ascii="Times New Roman" w:hAnsi="Times New Roman" w:eastAsia="仿宋_GB2312" w:cs="Times New Roman"/>
          <w:color w:val="auto"/>
          <w:kern w:val="2"/>
          <w:sz w:val="32"/>
          <w:szCs w:val="32"/>
          <w:highlight w:val="none"/>
          <w:lang w:val="en-US" w:eastAsia="zh-CN" w:bidi="ar-SA"/>
        </w:rPr>
        <w:t>的</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国内外嘉宾不少于活动总人数的10%，国际知名头部企业、科研机构、高等院校不少于30家。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（3）活动中应展现国际最新的科技成果或创新理念与前沿科研动态，</w:t>
      </w:r>
      <w:r>
        <w:rPr>
          <w:rFonts w:hint="eastAsia" w:ascii="仿宋_GB2312" w:hAnsi="仿宋_GB2312" w:eastAsia="仿宋_GB2312" w:cs="仿宋_GB2312"/>
          <w:color w:val="auto"/>
          <w:sz w:val="32"/>
          <w:szCs w:val="32"/>
          <w:highlight w:val="none"/>
          <w:lang w:val="en-US" w:eastAsia="zh-CN"/>
        </w:rPr>
        <w:t>活动在国际</w:t>
      </w:r>
      <w:r>
        <w:rPr>
          <w:rFonts w:hint="eastAsia" w:ascii="仿宋_GB2312" w:hAnsi="仿宋_GB2312" w:eastAsia="仿宋_GB2312" w:cs="仿宋_GB2312"/>
          <w:color w:val="auto"/>
          <w:sz w:val="32"/>
          <w:szCs w:val="32"/>
          <w:highlight w:val="none"/>
          <w:u w:val="none"/>
          <w:lang w:val="en-US" w:eastAsia="zh-CN"/>
        </w:rPr>
        <w:t>性</w:t>
      </w:r>
      <w:r>
        <w:rPr>
          <w:rFonts w:hint="eastAsia" w:ascii="仿宋_GB2312" w:hAnsi="仿宋_GB2312" w:eastAsia="仿宋_GB2312" w:cs="仿宋_GB2312"/>
          <w:color w:val="auto"/>
          <w:sz w:val="32"/>
          <w:szCs w:val="32"/>
          <w:highlight w:val="none"/>
          <w:lang w:val="en-US" w:eastAsia="zh-CN"/>
        </w:rPr>
        <w:t>或国家级媒体宣传，具有一定的基础性成果（包括但不限于学术作品、技术攻关、项目合作交易等方面），在国际或全国具有一定影响力</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，邀请权威组织在活动现场发布科学技术、潜力企业、高端人才等评比榜单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b/>
          <w:bCs/>
          <w:snapToGrid w:val="0"/>
          <w:color w:val="auto"/>
          <w:kern w:val="0"/>
          <w:sz w:val="32"/>
          <w:szCs w:val="32"/>
          <w:highlight w:val="none"/>
          <w:u w:val="none"/>
          <w:shd w:val="clear" w:color="auto" w:fill="FFFFFF"/>
          <w:lang w:val="en-US" w:eastAsia="zh-CN" w:bidi="ar"/>
        </w:rPr>
        <w:t>申报全国性科技交流活动的须符合以下条件</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（1）经广东省或深圳市等省市级行政事业单位、省级科技类社会团体等批复同意举办的科技交流活动。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（2）活动人数不少于200人，其中在全国</w:t>
      </w:r>
      <w:r>
        <w:rPr>
          <w:rFonts w:hint="default" w:ascii="Times New Roman" w:hAnsi="Times New Roman" w:eastAsia="仿宋_GB2312" w:cs="Times New Roman"/>
          <w:color w:val="auto"/>
          <w:kern w:val="2"/>
          <w:sz w:val="32"/>
          <w:szCs w:val="32"/>
          <w:highlight w:val="none"/>
          <w:lang w:val="en-US" w:eastAsia="zh-CN" w:bidi="ar-SA"/>
        </w:rPr>
        <w:t>具有较高行业地位</w:t>
      </w:r>
      <w:r>
        <w:rPr>
          <w:rFonts w:hint="eastAsia" w:ascii="Times New Roman" w:hAnsi="Times New Roman" w:eastAsia="仿宋_GB2312" w:cs="Times New Roman"/>
          <w:color w:val="auto"/>
          <w:kern w:val="2"/>
          <w:sz w:val="32"/>
          <w:szCs w:val="32"/>
          <w:highlight w:val="none"/>
          <w:lang w:val="en-US" w:eastAsia="zh-CN" w:bidi="ar-SA"/>
        </w:rPr>
        <w:t>的</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嘉宾不少于活动总人数的10%，全国知名头部企业、科研机构、高等院校不少于20家。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（3）活动中应展现全国最新的科技成果或创新理念与前沿科研动态，</w:t>
      </w:r>
      <w:r>
        <w:rPr>
          <w:rFonts w:hint="eastAsia" w:ascii="仿宋_GB2312" w:hAnsi="仿宋_GB2312" w:eastAsia="仿宋_GB2312" w:cs="仿宋_GB2312"/>
          <w:color w:val="auto"/>
          <w:kern w:val="2"/>
          <w:sz w:val="32"/>
          <w:szCs w:val="32"/>
          <w:highlight w:val="none"/>
          <w:lang w:val="en-US" w:eastAsia="zh-CN" w:bidi="ar-SA"/>
        </w:rPr>
        <w:t>活动在省级及以上媒体宣传，具有一定的基础性成果（包括但不限于学术作品、技术攻关、项目合作交易等方面），在珠三角、大湾区、广东省乃至全国具有一定影响力</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w:t>
      </w:r>
      <w:r>
        <w:rPr>
          <w:rFonts w:hint="eastAsia" w:ascii="Times New Roman" w:hAnsi="Times New Roman" w:eastAsia="仿宋_GB2312" w:cs="Times New Roman"/>
          <w:bCs/>
          <w:color w:val="auto"/>
          <w:kern w:val="2"/>
          <w:sz w:val="32"/>
          <w:szCs w:val="21"/>
          <w:highlight w:val="none"/>
          <w:lang w:val="en-US" w:eastAsia="zh-CN" w:bidi="ar-SA"/>
        </w:rPr>
        <w:t>邀请权威组织在活动现场发布科学技术、潜力企业、高端人才等评比榜单</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b/>
          <w:bCs/>
          <w:snapToGrid w:val="0"/>
          <w:color w:val="auto"/>
          <w:kern w:val="0"/>
          <w:sz w:val="32"/>
          <w:szCs w:val="32"/>
          <w:highlight w:val="none"/>
          <w:u w:val="none"/>
          <w:shd w:val="clear" w:color="auto" w:fill="FFFFFF"/>
          <w:lang w:val="en-US" w:eastAsia="zh-CN" w:bidi="ar"/>
        </w:rPr>
        <w:t>申报促进光明区重点产业发展科技交流活动的须符合以下条件</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（1）经光明区批复同意举办的科技交流活动、光明区创新创业大赛等围绕光明区重点产业的专业赛事活动。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（2）活动人数不少于100人，其中在全市</w:t>
      </w:r>
      <w:r>
        <w:rPr>
          <w:rFonts w:hint="default" w:ascii="Times New Roman" w:hAnsi="Times New Roman" w:eastAsia="仿宋_GB2312" w:cs="Times New Roman"/>
          <w:color w:val="auto"/>
          <w:kern w:val="2"/>
          <w:sz w:val="32"/>
          <w:szCs w:val="32"/>
          <w:highlight w:val="none"/>
          <w:lang w:val="en-US" w:eastAsia="zh-CN" w:bidi="ar-SA"/>
        </w:rPr>
        <w:t>具有较高行业地位</w:t>
      </w:r>
      <w:r>
        <w:rPr>
          <w:rFonts w:hint="eastAsia" w:ascii="Times New Roman" w:hAnsi="Times New Roman" w:eastAsia="仿宋_GB2312" w:cs="Times New Roman"/>
          <w:color w:val="auto"/>
          <w:kern w:val="2"/>
          <w:sz w:val="32"/>
          <w:szCs w:val="32"/>
          <w:highlight w:val="none"/>
          <w:lang w:val="en-US" w:eastAsia="zh-CN" w:bidi="ar-SA"/>
        </w:rPr>
        <w:t>的</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嘉宾不少于活动总人数的10%，全市知名企业、科研机构、高等院校不少于10家。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（3）活动中应展现光明区重点最新的科技成果或创新理念与前沿科研动态，</w:t>
      </w:r>
      <w:r>
        <w:rPr>
          <w:rFonts w:hint="eastAsia" w:ascii="仿宋_GB2312" w:hAnsi="仿宋_GB2312" w:eastAsia="仿宋_GB2312" w:cs="仿宋_GB2312"/>
          <w:color w:val="auto"/>
          <w:kern w:val="2"/>
          <w:sz w:val="32"/>
          <w:szCs w:val="32"/>
          <w:highlight w:val="none"/>
          <w:lang w:val="en-US" w:eastAsia="zh-CN" w:bidi="ar-SA"/>
        </w:rPr>
        <w:t>活动在市级及以上媒体宣传，具有一定的基础性成果（包括但不限于学术作品、技术攻关、项目合作交易等方面），在光明区、深圳市具有一定影响力，</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对营造光明区创新创业氛围具有显著促进作用。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 w:eastAsia="zh-CN" w:bidi="ar"/>
        </w:rPr>
        <w:t>九</w:t>
      </w:r>
      <w:r>
        <w:rPr>
          <w:rFonts w:hint="eastAsia" w:ascii="仿宋_GB2312" w:hAnsi="仿宋_GB2312" w:eastAsia="仿宋_GB2312" w:cs="仿宋_GB2312"/>
          <w:color w:val="auto"/>
          <w:kern w:val="0"/>
          <w:sz w:val="32"/>
          <w:szCs w:val="32"/>
          <w:highlight w:val="none"/>
          <w:lang w:val="en-US" w:eastAsia="zh-CN" w:bidi="ar"/>
        </w:rPr>
        <w:t>）由多方合作完成的科技交流活动项目，应明确一个申报主体，且科技交流活动项目不得重复申报</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eastAsia="zh-CN"/>
        </w:rPr>
      </w:pP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 w:eastAsia="zh-CN" w:bidi="ar"/>
        </w:rPr>
        <w:t>十</w:t>
      </w:r>
      <w:r>
        <w:rPr>
          <w:rFonts w:hint="eastAsia" w:ascii="仿宋_GB2312" w:hAnsi="仿宋_GB2312" w:eastAsia="仿宋_GB2312" w:cs="仿宋_GB2312"/>
          <w:color w:val="auto"/>
          <w:kern w:val="0"/>
          <w:sz w:val="32"/>
          <w:szCs w:val="32"/>
          <w:highlight w:val="none"/>
          <w:lang w:val="en-US" w:eastAsia="zh-CN" w:bidi="ar"/>
        </w:rPr>
        <w:t>）坚持厉行节约、反对浪费、规范简朴、务实高效的原则</w:t>
      </w:r>
      <w:r>
        <w:rPr>
          <w:rFonts w:hint="default" w:ascii="Times New Roman" w:hAnsi="Times New Roman" w:eastAsia="仿宋_GB2312" w:cs="Times New Roman"/>
          <w:color w:val="auto"/>
          <w:kern w:val="2"/>
          <w:sz w:val="32"/>
          <w:szCs w:val="32"/>
          <w:highlight w:val="none"/>
          <w:lang w:val="en-US" w:eastAsia="zh-Hans" w:bidi="ar-SA"/>
        </w:rPr>
        <w:t>，各项</w:t>
      </w:r>
      <w:r>
        <w:rPr>
          <w:rFonts w:hint="eastAsia" w:ascii="Times New Roman" w:hAnsi="Times New Roman" w:eastAsia="仿宋_GB2312" w:cs="Times New Roman"/>
          <w:color w:val="auto"/>
          <w:kern w:val="2"/>
          <w:sz w:val="32"/>
          <w:szCs w:val="32"/>
          <w:highlight w:val="none"/>
          <w:lang w:val="en-US" w:eastAsia="zh-CN" w:bidi="ar-SA"/>
        </w:rPr>
        <w:t>活动</w:t>
      </w:r>
      <w:r>
        <w:rPr>
          <w:rFonts w:hint="default" w:ascii="Times New Roman" w:hAnsi="Times New Roman" w:eastAsia="仿宋_GB2312" w:cs="Times New Roman"/>
          <w:color w:val="auto"/>
          <w:kern w:val="2"/>
          <w:sz w:val="32"/>
          <w:szCs w:val="32"/>
          <w:highlight w:val="none"/>
          <w:lang w:val="en-US" w:eastAsia="zh-Hans" w:bidi="ar-SA"/>
        </w:rPr>
        <w:t>经费需根据资助标准统筹安排、合理预算；对超范围、超标准开支的经费不予资助；</w:t>
      </w:r>
      <w:r>
        <w:rPr>
          <w:rFonts w:hint="default" w:ascii="仿宋_GB2312" w:hAnsi="宋体" w:eastAsia="仿宋_GB2312" w:cs="仿宋_GB2312"/>
          <w:i w:val="0"/>
          <w:caps w:val="0"/>
          <w:color w:val="auto"/>
          <w:spacing w:val="0"/>
          <w:kern w:val="0"/>
          <w:sz w:val="32"/>
          <w:szCs w:val="32"/>
          <w:highlight w:val="none"/>
          <w:shd w:val="clear" w:color="auto" w:fill="auto"/>
          <w:lang w:val="en" w:eastAsia="zh-CN" w:bidi="ar"/>
        </w:rPr>
        <w:t>对上级部门明确在光明区举办并要求光明区给予资助的活动，按照上级有关要求资助</w:t>
      </w:r>
      <w:r>
        <w:rPr>
          <w:rFonts w:hint="eastAsia" w:ascii="仿宋_GB2312" w:hAnsi="宋体" w:eastAsia="仿宋_GB2312" w:cs="仿宋_GB2312"/>
          <w:i w:val="0"/>
          <w:caps w:val="0"/>
          <w:color w:val="auto"/>
          <w:spacing w:val="0"/>
          <w:kern w:val="0"/>
          <w:sz w:val="32"/>
          <w:szCs w:val="32"/>
          <w:highlight w:val="none"/>
          <w:shd w:val="clear" w:color="auto" w:fill="auto"/>
          <w:lang w:val="en-US" w:eastAsia="zh-CN" w:bidi="ar"/>
        </w:rPr>
        <w:t>。</w:t>
      </w:r>
      <w:r>
        <w:rPr>
          <w:rFonts w:hint="eastAsia" w:ascii="仿宋_GB2312" w:hAnsi="仿宋_GB2312" w:eastAsia="仿宋_GB2312" w:cs="仿宋_GB2312"/>
          <w:color w:val="auto"/>
          <w:kern w:val="2"/>
          <w:sz w:val="32"/>
          <w:szCs w:val="32"/>
          <w:highlight w:val="none"/>
          <w:lang w:val="en-US" w:eastAsia="zh-CN" w:bidi="ar-SA"/>
        </w:rPr>
        <w:t>活动须符合安全、消防、环保等相关法律法规的规定。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default" w:ascii="Times New Roman" w:hAnsi="Times New Roman" w:eastAsia="黑体" w:cs="Times New Roman"/>
          <w:color w:val="auto"/>
          <w:sz w:val="32"/>
          <w:szCs w:val="22"/>
          <w:highlight w:val="none"/>
          <w:lang w:bidi="ar"/>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keepNext w:val="0"/>
        <w:keepLines w:val="0"/>
        <w:pageBreakBefore w:val="0"/>
        <w:widowControl w:val="0"/>
        <w:kinsoku/>
        <w:wordWrap/>
        <w:overflowPunct/>
        <w:topLinePunct w:val="0"/>
        <w:autoSpaceDE/>
        <w:autoSpaceDN/>
        <w:bidi w:val="0"/>
        <w:adjustRightInd/>
        <w:snapToGrid w:val="0"/>
        <w:spacing w:line="560" w:lineRule="exact"/>
        <w:ind w:right="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（三）上年度财务审计报告（经深圳市注册会计师协会备案、含有防伪标识封面）或事业单位财务决算报表复印件（注册未满一年的可提供验资报告）。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pacing w:line="560" w:lineRule="exact"/>
        <w:ind w:right="0" w:firstLine="640" w:firstLineChars="0"/>
        <w:jc w:val="both"/>
        <w:textAlignment w:val="auto"/>
        <w:rPr>
          <w:rStyle w:val="11"/>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u w:val="none"/>
          <w:lang w:eastAsia="zh-CN"/>
        </w:rPr>
        <w:fldChar w:fldCharType="begin"/>
      </w:r>
      <w:r>
        <w:rPr>
          <w:rFonts w:hint="eastAsia" w:ascii="仿宋_GB2312" w:hAnsi="仿宋_GB2312" w:eastAsia="仿宋_GB2312" w:cs="仿宋_GB2312"/>
          <w:color w:val="auto"/>
          <w:sz w:val="32"/>
          <w:szCs w:val="32"/>
          <w:highlight w:val="none"/>
          <w:u w:val="none"/>
          <w:lang w:eastAsia="zh-CN"/>
        </w:rPr>
        <w:instrText xml:space="preserve"> HYPERLINK "mailto:备案需提供《光明区科技创新局科技交流活动备案申请书》（附件，需加盖公章及骑缝章），其PDF电子版材料提交至电子邮箱kcjkczx@szgm.gov.cn，纸质材料提交至深圳市光明区科技创新局。" </w:instrText>
      </w:r>
      <w:r>
        <w:rPr>
          <w:rFonts w:hint="eastAsia" w:ascii="仿宋_GB2312" w:hAnsi="仿宋_GB2312" w:eastAsia="仿宋_GB2312" w:cs="仿宋_GB2312"/>
          <w:color w:val="auto"/>
          <w:sz w:val="32"/>
          <w:szCs w:val="32"/>
          <w:highlight w:val="none"/>
          <w:u w:val="none"/>
          <w:lang w:eastAsia="zh-CN"/>
        </w:rPr>
        <w:fldChar w:fldCharType="separate"/>
      </w:r>
      <w:r>
        <w:rPr>
          <w:rStyle w:val="11"/>
          <w:rFonts w:hint="eastAsia" w:ascii="仿宋_GB2312" w:hAnsi="仿宋_GB2312" w:eastAsia="仿宋_GB2312" w:cs="仿宋_GB2312"/>
          <w:color w:val="auto"/>
          <w:sz w:val="32"/>
          <w:szCs w:val="32"/>
          <w:highlight w:val="none"/>
          <w:u w:val="none"/>
        </w:rPr>
        <w:t>活动总结报告，内容包含活动基本情况（主题、时间、地点、规模、主要出席嘉宾、活动成效与启示等）、活动方案、邀请函、签到表、现场照片、新闻报道等佐证材料。</w:t>
      </w:r>
    </w:p>
    <w:p>
      <w:pPr>
        <w:keepNext w:val="0"/>
        <w:keepLines w:val="0"/>
        <w:pageBreakBefore w:val="0"/>
        <w:widowControl w:val="0"/>
        <w:kinsoku/>
        <w:wordWrap/>
        <w:overflowPunct/>
        <w:topLinePunct w:val="0"/>
        <w:autoSpaceDE/>
        <w:autoSpaceDN/>
        <w:bidi w:val="0"/>
        <w:adjustRightInd/>
        <w:spacing w:line="560" w:lineRule="exact"/>
        <w:ind w:right="0" w:firstLine="64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w:t>
      </w:r>
      <w:r>
        <w:rPr>
          <w:rStyle w:val="11"/>
          <w:rFonts w:hint="eastAsia" w:ascii="仿宋_GB2312" w:hAnsi="仿宋_GB2312" w:eastAsia="仿宋_GB2312" w:cs="仿宋_GB2312"/>
          <w:color w:val="auto"/>
          <w:sz w:val="32"/>
          <w:szCs w:val="32"/>
          <w:highlight w:val="none"/>
          <w:u w:val="none"/>
        </w:rPr>
        <w:t>活动执行费用台账，包含支出明细、发票单据及合同协议等；活动实际支出经费专项审计报告活动预算明细，包含活动收入与支出计划。</w:t>
      </w:r>
      <w:r>
        <w:rPr>
          <w:rFonts w:hint="eastAsia" w:ascii="仿宋_GB2312" w:hAnsi="仿宋_GB2312" w:eastAsia="仿宋_GB2312" w:cs="仿宋_GB2312"/>
          <w:color w:val="auto"/>
          <w:sz w:val="32"/>
          <w:szCs w:val="32"/>
          <w:highlight w:val="none"/>
          <w:u w:val="none"/>
          <w:lang w:eastAsia="zh-CN"/>
        </w:rPr>
        <w:fldChar w:fldCharType="end"/>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Lines="0" w:afterAutospacing="0" w:line="560" w:lineRule="exact"/>
        <w:ind w:right="0" w:rightChars="0" w:firstLine="640"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（八）其他必要的申请材料。</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（一）网络申报时间</w:t>
      </w:r>
      <w:r>
        <w:rPr>
          <w:rFonts w:hint="default" w:ascii="Times New Roman" w:hAnsi="Times New Roman" w:eastAsia="楷体_GB2312" w:cs="Times New Roman"/>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2024年8月19日至2024年9月19日18时</w:t>
      </w:r>
      <w:r>
        <w:rPr>
          <w:rFonts w:hint="eastAsia" w:ascii="仿宋_GB2312" w:hAnsi="仿宋_GB2312" w:eastAsia="仿宋_GB2312" w:cs="仿宋_GB2312"/>
          <w:color w:val="auto"/>
          <w:sz w:val="32"/>
          <w:szCs w:val="32"/>
          <w:highlight w:val="none"/>
          <w:lang w:eastAsia="zh-CN"/>
        </w:rPr>
        <w:t>。（注：原则上超过网络申报受理的截止时间，不再受理新提交申请。网络申报受理截止前已在线提交申请，但后经形式审核被退回修改的，可于书面材料受理截止前再次提交修改后的材料进行形式审核，审核通过后方可按时向光明区科技创新局提交纸质申请材料。）</w:t>
      </w:r>
    </w:p>
    <w:p>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color w:val="auto"/>
          <w:sz w:val="32"/>
          <w:szCs w:val="32"/>
          <w:highlight w:val="none"/>
          <w:lang w:val="en-US" w:eastAsia="zh-CN"/>
        </w:rPr>
        <w:t>2024年8月19日至2024年9月20日18时</w:t>
      </w:r>
      <w:r>
        <w:rPr>
          <w:rFonts w:hint="eastAsia" w:ascii="仿宋_GB2312" w:hAnsi="仿宋_GB2312" w:eastAsia="仿宋_GB2312" w:cs="仿宋_GB2312"/>
          <w:color w:val="auto"/>
          <w:sz w:val="32"/>
          <w:szCs w:val="32"/>
          <w:highlight w:val="none"/>
          <w:lang w:eastAsia="zh-CN"/>
        </w:rPr>
        <w:t>。（注：网上初审通过后请及时提交纸质材料，成功提交纸质材料的项目才算完成申请。）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受理地点：深圳市光明区</w:t>
      </w:r>
      <w:r>
        <w:rPr>
          <w:rFonts w:hint="default" w:ascii="Times New Roman" w:hAnsi="Times New Roman" w:eastAsia="仿宋_GB2312" w:cs="Times New Roman"/>
          <w:color w:val="auto"/>
          <w:sz w:val="32"/>
          <w:szCs w:val="32"/>
          <w:highlight w:val="none"/>
          <w:lang w:val="en-US" w:eastAsia="zh-CN"/>
        </w:rPr>
        <w:t>光明街道牛山路公共服务平台</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 w:eastAsia="zh-CN"/>
        </w:rPr>
        <w:t>楼</w:t>
      </w:r>
      <w:r>
        <w:rPr>
          <w:rFonts w:hint="eastAsia" w:eastAsia="仿宋_GB2312" w:cs="Times New Roman"/>
          <w:color w:val="auto"/>
          <w:sz w:val="32"/>
          <w:szCs w:val="32"/>
          <w:highlight w:val="none"/>
          <w:lang w:val="en-US" w:eastAsia="zh-CN"/>
        </w:rPr>
        <w:t>创新综合</w:t>
      </w:r>
      <w:r>
        <w:rPr>
          <w:rFonts w:hint="eastAsia" w:ascii="仿宋_GB2312" w:hAnsi="仿宋_GB2312" w:eastAsia="仿宋_GB2312" w:cs="仿宋_GB2312"/>
          <w:color w:val="auto"/>
          <w:sz w:val="32"/>
          <w:szCs w:val="32"/>
          <w:highlight w:val="none"/>
          <w:lang w:val="en-US" w:eastAsia="zh-CN"/>
        </w:rPr>
        <w:t>部562室</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0755-21388802</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rPr>
        <w:t>、办理流程</w:t>
      </w:r>
    </w:p>
    <w:p>
      <w:pPr>
        <w:keepNext w:val="0"/>
        <w:keepLines w:val="0"/>
        <w:pageBreakBefore w:val="0"/>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numPr>
          <w:ilvl w:val="0"/>
          <w:numId w:val="0"/>
        </w:numPr>
        <w:kinsoku/>
        <w:wordWrap/>
        <w:overflowPunct/>
        <w:topLinePunct w:val="0"/>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八</w:t>
      </w:r>
      <w:r>
        <w:rPr>
          <w:rFonts w:hint="eastAsia" w:ascii="CESI黑体-GB2312" w:hAnsi="CESI黑体-GB2312" w:eastAsia="CESI黑体-GB2312" w:cs="CESI黑体-GB2312"/>
          <w:color w:val="auto"/>
          <w:sz w:val="32"/>
          <w:szCs w:val="32"/>
          <w:highlight w:val="none"/>
        </w:rPr>
        <w:t>、注意事项</w:t>
      </w:r>
    </w:p>
    <w:p>
      <w:pPr>
        <w:keepNext w:val="0"/>
        <w:keepLines w:val="0"/>
        <w:pageBreakBefore w:val="0"/>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default" w:ascii="Times New Roman" w:hAnsi="Times New Roman" w:eastAsia="仿宋_GB2312" w:cs="Times New Roman"/>
          <w:color w:val="auto"/>
          <w:sz w:val="32"/>
          <w:szCs w:val="32"/>
          <w:highlight w:val="none"/>
        </w:rPr>
        <w:t>申报单位对申报材料的合法性、真实性、准确性和完整性负责。</w:t>
      </w:r>
      <w:r>
        <w:rPr>
          <w:rFonts w:hint="eastAsia"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default" w:ascii="Times New Roman" w:hAnsi="Times New Roman" w:eastAsia="仿宋_GB2312" w:cs="Times New Roman"/>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Times New Roman" w:hAnsi="Times New Roman" w:eastAsia="仿宋_GB2312" w:cs="Times New Roman"/>
          <w:color w:val="auto"/>
          <w:sz w:val="32"/>
          <w:szCs w:val="32"/>
          <w:highlight w:val="none"/>
          <w:lang w:eastAsia="zh-CN"/>
        </w:rPr>
        <w:t>。</w:t>
      </w:r>
    </w:p>
    <w:p>
      <w:pPr>
        <w:numPr>
          <w:ilvl w:val="0"/>
          <w:numId w:val="0"/>
        </w:numPr>
        <w:spacing w:line="560" w:lineRule="exact"/>
        <w:ind w:firstLine="640" w:firstLineChars="200"/>
        <w:jc w:val="both"/>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 w:eastAsia="zh-CN"/>
        </w:rPr>
        <w:t>（四）</w:t>
      </w:r>
      <w:r>
        <w:rPr>
          <w:rFonts w:hint="default" w:ascii="Times New Roman" w:hAnsi="Times New Roman" w:eastAsia="仿宋_GB2312" w:cs="Times New Roman"/>
          <w:color w:val="auto"/>
          <w:sz w:val="32"/>
          <w:szCs w:val="32"/>
          <w:highlight w:val="none"/>
        </w:rPr>
        <w:t>项目申报单位需提交审计报告的，应当提供</w:t>
      </w:r>
      <w:r>
        <w:rPr>
          <w:rFonts w:hint="eastAsia" w:eastAsia="仿宋_GB2312" w:cs="Times New Roman"/>
          <w:color w:val="auto"/>
          <w:sz w:val="32"/>
          <w:szCs w:val="32"/>
          <w:highlight w:val="none"/>
          <w:lang w:eastAsia="zh-CN"/>
        </w:rPr>
        <w:t>已</w:t>
      </w:r>
      <w:r>
        <w:rPr>
          <w:rFonts w:hint="default" w:ascii="Times New Roman" w:hAnsi="Times New Roman" w:eastAsia="仿宋_GB2312" w:cs="Times New Roman"/>
          <w:color w:val="auto"/>
          <w:sz w:val="32"/>
          <w:szCs w:val="32"/>
          <w:highlight w:val="none"/>
          <w:lang w:val="en-US" w:eastAsia="zh-CN"/>
        </w:rPr>
        <w:t>通过注册会计师行业统一监管平台报备</w:t>
      </w:r>
      <w:r>
        <w:rPr>
          <w:rFonts w:hint="default" w:ascii="Times New Roman" w:hAnsi="Times New Roman" w:eastAsia="仿宋_GB2312" w:cs="Times New Roman"/>
          <w:color w:val="auto"/>
          <w:sz w:val="32"/>
          <w:szCs w:val="32"/>
          <w:highlight w:val="none"/>
        </w:rPr>
        <w:t>的审计报告</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本项目与光明区其他同类别资助</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不重复</w:t>
      </w:r>
      <w:r>
        <w:rPr>
          <w:rFonts w:hint="eastAsia" w:eastAsia="仿宋_GB2312" w:cs="Times New Roman"/>
          <w:color w:val="auto"/>
          <w:sz w:val="32"/>
          <w:szCs w:val="32"/>
          <w:highlight w:val="none"/>
          <w:lang w:eastAsia="zh-CN"/>
        </w:rPr>
        <w:t>资助，由</w:t>
      </w:r>
      <w:r>
        <w:rPr>
          <w:rFonts w:hint="eastAsia" w:eastAsia="仿宋_GB2312" w:cs="Times New Roman"/>
          <w:color w:val="auto"/>
          <w:sz w:val="32"/>
          <w:szCs w:val="32"/>
          <w:highlight w:val="none"/>
          <w:lang w:val="en-US" w:eastAsia="zh-CN"/>
        </w:rPr>
        <w:t>申报单位自行选择其中一项政策进行申报；已享受区政府专项支持的项目，不再纳入本指南支持范围；本指南实施期间如遇政策调整的，可进行相应调整。</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承诺书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Times New Roman"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default" w:ascii="仿宋_GB2312" w:eastAsia="仿宋_GB2312" w:cs="仿宋_GB2312"/>
          <w:kern w:val="2"/>
          <w:sz w:val="28"/>
          <w:szCs w:val="28"/>
          <w:lang w:val="en-US"/>
        </w:rPr>
      </w:pPr>
      <w:r>
        <w:rPr>
          <w:rFonts w:hint="eastAsia" w:ascii="仿宋_GB2312" w:hAnsi="Times New Roman" w:eastAsia="仿宋_GB2312" w:cs="仿宋_GB2312"/>
          <w:kern w:val="2"/>
          <w:sz w:val="28"/>
          <w:szCs w:val="28"/>
          <w:lang w:val="en-US" w:eastAsia="zh-CN" w:bidi="ar"/>
        </w:rPr>
        <w:t>本单位在申报本项目之前，已经完全了解并遵守《光明区经济发展专项资金管理办法》（深光府规〔2023〕15号</w:t>
      </w:r>
      <w:r>
        <w:rPr>
          <w:rFonts w:hint="eastAsia" w:ascii="仿宋_GB2312" w:hAnsi="Times New Roman" w:eastAsia="仿宋_GB2312" w:cs="仿宋_GB2312"/>
          <w:kern w:val="2"/>
          <w:sz w:val="28"/>
          <w:szCs w:val="28"/>
          <w:highlight w:val="none"/>
          <w:lang w:val="en-US" w:eastAsia="zh-CN" w:bidi="ar"/>
        </w:rPr>
        <w:t>）《</w:t>
      </w:r>
      <w:r>
        <w:rPr>
          <w:rFonts w:hint="eastAsia" w:ascii="仿宋_GB2312" w:hAnsi="Times New Roman" w:eastAsia="仿宋_GB2312" w:cs="仿宋_GB2312"/>
          <w:i w:val="0"/>
          <w:kern w:val="2"/>
          <w:sz w:val="28"/>
          <w:szCs w:val="28"/>
          <w:highlight w:val="none"/>
          <w:lang w:val="en-US" w:eastAsia="zh-CN" w:bidi="ar"/>
        </w:rPr>
        <w:t>深圳市光明区关于促进科技创新发展的若干措施</w:t>
      </w:r>
      <w:r>
        <w:rPr>
          <w:rFonts w:hint="eastAsia" w:ascii="仿宋_GB2312" w:hAnsi="Times New Roman" w:eastAsia="仿宋_GB2312" w:cs="仿宋_GB2312"/>
          <w:kern w:val="2"/>
          <w:sz w:val="28"/>
          <w:szCs w:val="28"/>
          <w:highlight w:val="none"/>
          <w:lang w:val="en-US" w:eastAsia="zh-CN" w:bidi="ar"/>
        </w:rPr>
        <w:t>》</w:t>
      </w:r>
      <w:r>
        <w:rPr>
          <w:rFonts w:hint="eastAsia" w:ascii="仿宋_GB2312" w:hAnsi="Times New Roman" w:eastAsia="仿宋_GB2312" w:cs="仿宋_GB2312"/>
          <w:i w:val="0"/>
          <w:kern w:val="2"/>
          <w:sz w:val="28"/>
          <w:szCs w:val="28"/>
          <w:highlight w:val="none"/>
          <w:lang w:val="en-US" w:eastAsia="zh-CN" w:bidi="ar"/>
        </w:rPr>
        <w:t>（深光府规〔2024〕1号）</w:t>
      </w:r>
      <w:r>
        <w:rPr>
          <w:rFonts w:hint="eastAsia" w:ascii="仿宋_GB2312" w:hAnsi="Times New Roman" w:eastAsia="仿宋_GB2312" w:cs="仿宋_GB2312"/>
          <w:b w:val="0"/>
          <w:kern w:val="2"/>
          <w:sz w:val="28"/>
          <w:szCs w:val="28"/>
          <w:highlight w:val="none"/>
          <w:lang w:val="en-US" w:eastAsia="zh-CN" w:bidi="ar"/>
        </w:rPr>
        <w:t>深圳市光明区促进科技创新发展扶持计划操作规程（深光科创规〔2024〕2号）</w:t>
      </w:r>
      <w:r>
        <w:rPr>
          <w:rFonts w:hint="eastAsia" w:ascii="仿宋_GB2312" w:hAnsi="Times New Roman" w:eastAsia="仿宋_GB2312" w:cs="仿宋_GB2312"/>
          <w:kern w:val="2"/>
          <w:sz w:val="28"/>
          <w:szCs w:val="28"/>
          <w:lang w:val="en-US" w:eastAsia="zh-CN" w:bidi="ar"/>
        </w:rPr>
        <w:t>等相关规定，并作出以下声明和保证：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color w:val="FF0000"/>
          <w:kern w:val="2"/>
          <w:sz w:val="28"/>
          <w:szCs w:val="28"/>
        </w:rPr>
      </w:pPr>
      <w:r>
        <w:rPr>
          <w:rFonts w:hint="eastAsia" w:ascii="仿宋_GB2312" w:hAnsi="Times New Roman" w:eastAsia="仿宋_GB2312" w:cs="仿宋_GB2312"/>
          <w:kern w:val="2"/>
          <w:sz w:val="28"/>
          <w:szCs w:val="28"/>
          <w:lang w:val="en-US" w:eastAsia="zh-CN" w:bidi="ar"/>
        </w:rPr>
        <w:t>一、本单位在项目申请、实施过程中，提供的项目申报材料真实合法有效，无弄虚作假、漏报、瞒报行为，不存在重复申报、多头申报等违规情形。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二、本单位自觉接受资金主管部门和监督部门的监督检查，按照相关部门要求及时报送相关资料、配合开展实地考察等，配合相关职能部门履行好社会责任。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三、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四、本申请资料仅为向光明区科技创新局申请</w:t>
      </w:r>
      <w:r>
        <w:rPr>
          <w:rFonts w:hint="eastAsia" w:ascii="仿宋_GB2312" w:hAnsi="Times New Roman" w:eastAsia="仿宋_GB2312" w:cs="仿宋_GB2312"/>
          <w:kern w:val="2"/>
          <w:sz w:val="28"/>
          <w:szCs w:val="28"/>
          <w:highlight w:val="none"/>
          <w:lang w:val="en-US" w:eastAsia="zh-CN" w:bidi="ar"/>
        </w:rPr>
        <w:t>高水平科技交流活动资助项目</w:t>
      </w:r>
      <w:r>
        <w:rPr>
          <w:rFonts w:hint="eastAsia" w:ascii="仿宋_GB2312" w:hAnsi="Times New Roman" w:eastAsia="仿宋_GB2312" w:cs="仿宋_GB2312"/>
          <w:kern w:val="2"/>
          <w:sz w:val="28"/>
          <w:szCs w:val="28"/>
          <w:lang w:val="en-US" w:eastAsia="zh-CN" w:bidi="ar"/>
        </w:rPr>
        <w:t>资金而提交，本单位清楚所有提交的材料均需审核且不予退还。本单位已对所有申请资料自行备份留底。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五、光明区科技创新局可以因审核该项目而使用申报材料中提供的全部信息，无需另行征得本单位的同意。本单位清楚所有申报材料经过相关受理及审批、公示等程序，</w:t>
      </w:r>
      <w:r>
        <w:rPr>
          <w:rFonts w:hint="eastAsia" w:ascii="仿宋_GB2312" w:eastAsia="仿宋_GB2312" w:cs="仿宋_GB2312"/>
          <w:kern w:val="2"/>
          <w:sz w:val="28"/>
          <w:szCs w:val="28"/>
          <w:lang w:val="en-US" w:eastAsia="zh-CN" w:bidi="ar"/>
        </w:rPr>
        <w:t>不</w:t>
      </w:r>
      <w:r>
        <w:rPr>
          <w:rFonts w:hint="eastAsia" w:ascii="仿宋_GB2312" w:hAnsi="Times New Roman" w:eastAsia="仿宋_GB2312" w:cs="仿宋_GB2312"/>
          <w:kern w:val="2"/>
          <w:sz w:val="28"/>
          <w:szCs w:val="28"/>
          <w:lang w:val="en-US" w:eastAsia="zh-CN" w:bidi="ar"/>
        </w:rPr>
        <w:t>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六、本单位获得的光明区经济发展专项资金用于生产经营和日常管理支出，不得用于证券类投资、缴纳罚款、滞纳金、房地产投资等非正常的经营性支出。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七、本单位如获得光明区科技创新局经济发展专项资金资助累计额度100万元（含）以上，承诺自获得最后一笔光明区政府资金支持之日起，三年内①若注册地在光明的，保持注册地在光明区的稳定，并继续履行在光明区的纳税义务和统计义务；②在光明区实际经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八、本单位所申报项目符合资助领取条件；如不符合领取条件却收到资助，本单位保证配合资金主管部门和监督部门退回已拨付资金中涉及违规部分。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本单位已详细阅读以上内容，自愿签署此承诺书，保证遵守上述承诺。如有违反，主动配合相关资金主管部门退回获得的资助资金并依法承担法律责任，对于逾期未退还的，依法依规退回孳生利息。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特此承诺。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3080" w:firstLineChars="110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承诺单位（人）（盖章/签字）：</w:t>
      </w:r>
      <w:r>
        <w:rPr>
          <w:rFonts w:hint="eastAsia" w:ascii="仿宋_GB2312" w:hAnsi="Times New Roman" w:eastAsia="仿宋_GB2312" w:cs="仿宋_GB2312"/>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3080" w:firstLineChars="1100"/>
        <w:jc w:val="lef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承诺单位法人代表签名：</w:t>
      </w:r>
      <w:r>
        <w:rPr>
          <w:rFonts w:hint="eastAsia" w:ascii="仿宋_GB2312" w:hAnsi="Times New Roman" w:eastAsia="仿宋_GB2312" w:cs="仿宋_GB2312"/>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right"/>
        <w:textAlignment w:val="auto"/>
      </w:pPr>
      <w:r>
        <w:rPr>
          <w:rFonts w:hint="eastAsia" w:ascii="仿宋_GB2312" w:hAnsi="Times New Roman" w:eastAsia="仿宋_GB2312" w:cs="仿宋_GB2312"/>
          <w:kern w:val="2"/>
          <w:sz w:val="28"/>
          <w:szCs w:val="28"/>
          <w:lang w:val="en-US" w:eastAsia="zh-CN" w:bidi="ar"/>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5B990E"/>
    <w:rsid w:val="07CEF138"/>
    <w:rsid w:val="0F797745"/>
    <w:rsid w:val="0FD554BE"/>
    <w:rsid w:val="0FEF690D"/>
    <w:rsid w:val="17FF6308"/>
    <w:rsid w:val="19E745FE"/>
    <w:rsid w:val="1FEDDCE3"/>
    <w:rsid w:val="1FFBBF06"/>
    <w:rsid w:val="25FB9112"/>
    <w:rsid w:val="27B70DFE"/>
    <w:rsid w:val="29EF6F64"/>
    <w:rsid w:val="2A3FA083"/>
    <w:rsid w:val="2BF52295"/>
    <w:rsid w:val="2DDA9609"/>
    <w:rsid w:val="2F4A1A21"/>
    <w:rsid w:val="2F7B66C3"/>
    <w:rsid w:val="352F76FB"/>
    <w:rsid w:val="35F7DBCA"/>
    <w:rsid w:val="35FE5169"/>
    <w:rsid w:val="37F513FF"/>
    <w:rsid w:val="3AF73737"/>
    <w:rsid w:val="3B7B3F04"/>
    <w:rsid w:val="3BE78ADA"/>
    <w:rsid w:val="3BFD5F35"/>
    <w:rsid w:val="3CF94BD9"/>
    <w:rsid w:val="3CFFB16A"/>
    <w:rsid w:val="3DFB6D62"/>
    <w:rsid w:val="3F5EE876"/>
    <w:rsid w:val="3FF6B842"/>
    <w:rsid w:val="47E79A64"/>
    <w:rsid w:val="4B2F206C"/>
    <w:rsid w:val="4F76C6C9"/>
    <w:rsid w:val="4FBFBC4D"/>
    <w:rsid w:val="537F6AA3"/>
    <w:rsid w:val="574CA371"/>
    <w:rsid w:val="57672E12"/>
    <w:rsid w:val="576F22FF"/>
    <w:rsid w:val="5A2E2F3F"/>
    <w:rsid w:val="5BD713CA"/>
    <w:rsid w:val="5D7FC57B"/>
    <w:rsid w:val="5DF38349"/>
    <w:rsid w:val="5F2D7811"/>
    <w:rsid w:val="5FB6BE02"/>
    <w:rsid w:val="5FDF7975"/>
    <w:rsid w:val="5FE5BB10"/>
    <w:rsid w:val="5FE93E0B"/>
    <w:rsid w:val="5FFF342B"/>
    <w:rsid w:val="63F3B8C6"/>
    <w:rsid w:val="63FE4C22"/>
    <w:rsid w:val="65FB3055"/>
    <w:rsid w:val="66FFB9E6"/>
    <w:rsid w:val="67FB86B0"/>
    <w:rsid w:val="68FFA83E"/>
    <w:rsid w:val="6BFECC48"/>
    <w:rsid w:val="6CCFB352"/>
    <w:rsid w:val="6E7F4E40"/>
    <w:rsid w:val="6EAFCC29"/>
    <w:rsid w:val="6F7B65E5"/>
    <w:rsid w:val="6FBFEF3E"/>
    <w:rsid w:val="6FDE5F22"/>
    <w:rsid w:val="6FF5D365"/>
    <w:rsid w:val="75EF6C65"/>
    <w:rsid w:val="75F78BE4"/>
    <w:rsid w:val="761F8106"/>
    <w:rsid w:val="767B71AE"/>
    <w:rsid w:val="778B17E7"/>
    <w:rsid w:val="77EF1C8E"/>
    <w:rsid w:val="77F7AC6A"/>
    <w:rsid w:val="79B78EFF"/>
    <w:rsid w:val="79B8379B"/>
    <w:rsid w:val="79D36DF9"/>
    <w:rsid w:val="7ABF18F7"/>
    <w:rsid w:val="7BA45969"/>
    <w:rsid w:val="7BFFE265"/>
    <w:rsid w:val="7C4E7B4A"/>
    <w:rsid w:val="7CBF05F1"/>
    <w:rsid w:val="7CD34175"/>
    <w:rsid w:val="7D771696"/>
    <w:rsid w:val="7D7F67D3"/>
    <w:rsid w:val="7D7F765C"/>
    <w:rsid w:val="7DDF1FB7"/>
    <w:rsid w:val="7DFF1A15"/>
    <w:rsid w:val="7E46E04D"/>
    <w:rsid w:val="7EA700B7"/>
    <w:rsid w:val="7EB6BFEA"/>
    <w:rsid w:val="7EE7ED4E"/>
    <w:rsid w:val="7EF3EF29"/>
    <w:rsid w:val="7EF4AAF8"/>
    <w:rsid w:val="7F3B2889"/>
    <w:rsid w:val="7F7B5DBB"/>
    <w:rsid w:val="7F7D6F51"/>
    <w:rsid w:val="7F8EA0FC"/>
    <w:rsid w:val="7FBF17BA"/>
    <w:rsid w:val="7FBFB75A"/>
    <w:rsid w:val="7FCED91D"/>
    <w:rsid w:val="7FDB067F"/>
    <w:rsid w:val="7FE9C713"/>
    <w:rsid w:val="7FF877C0"/>
    <w:rsid w:val="7FFA8206"/>
    <w:rsid w:val="7FFD941B"/>
    <w:rsid w:val="7FFD9E25"/>
    <w:rsid w:val="7FFE7031"/>
    <w:rsid w:val="7FFFE544"/>
    <w:rsid w:val="8DFBDCCB"/>
    <w:rsid w:val="9E9DE5FB"/>
    <w:rsid w:val="A7579257"/>
    <w:rsid w:val="ADFFD4D0"/>
    <w:rsid w:val="AFD18466"/>
    <w:rsid w:val="AFF578E9"/>
    <w:rsid w:val="B0BF6296"/>
    <w:rsid w:val="B1FFD550"/>
    <w:rsid w:val="B3BFCC26"/>
    <w:rsid w:val="B55F4CD3"/>
    <w:rsid w:val="B77FDCDB"/>
    <w:rsid w:val="B7CB36B2"/>
    <w:rsid w:val="B7DF1895"/>
    <w:rsid w:val="B9779F86"/>
    <w:rsid w:val="B9EF0DC7"/>
    <w:rsid w:val="BA7F9924"/>
    <w:rsid w:val="BB633436"/>
    <w:rsid w:val="BDDEFEED"/>
    <w:rsid w:val="BE557F46"/>
    <w:rsid w:val="BE6B0BCB"/>
    <w:rsid w:val="BEC4DF3E"/>
    <w:rsid w:val="BED99CE8"/>
    <w:rsid w:val="BEFF518D"/>
    <w:rsid w:val="BF2FBB96"/>
    <w:rsid w:val="BFD7FD31"/>
    <w:rsid w:val="BFDB7264"/>
    <w:rsid w:val="BFEBE4BC"/>
    <w:rsid w:val="BFF30E65"/>
    <w:rsid w:val="BFF47F3F"/>
    <w:rsid w:val="BFFB7807"/>
    <w:rsid w:val="BFFDADEB"/>
    <w:rsid w:val="BFFE11B2"/>
    <w:rsid w:val="BFFF2656"/>
    <w:rsid w:val="BFFF346D"/>
    <w:rsid w:val="C7EF5F19"/>
    <w:rsid w:val="D75B990E"/>
    <w:rsid w:val="D7DA7AC5"/>
    <w:rsid w:val="D8F4801F"/>
    <w:rsid w:val="DAAFEB80"/>
    <w:rsid w:val="DBBE4F9E"/>
    <w:rsid w:val="DCBDE98C"/>
    <w:rsid w:val="DEF4DD68"/>
    <w:rsid w:val="DF0F8825"/>
    <w:rsid w:val="DF7F69F1"/>
    <w:rsid w:val="DF96CA2A"/>
    <w:rsid w:val="DFBBE89D"/>
    <w:rsid w:val="DFCAC2CD"/>
    <w:rsid w:val="DFFDE8A8"/>
    <w:rsid w:val="DFFF4CF6"/>
    <w:rsid w:val="DFFF6791"/>
    <w:rsid w:val="E4FA26ED"/>
    <w:rsid w:val="E7665380"/>
    <w:rsid w:val="EDFB8473"/>
    <w:rsid w:val="EF5B54E7"/>
    <w:rsid w:val="EFA7F57E"/>
    <w:rsid w:val="EFAEA8E6"/>
    <w:rsid w:val="EFBB2E51"/>
    <w:rsid w:val="EFDD4026"/>
    <w:rsid w:val="EFDF7EB8"/>
    <w:rsid w:val="EFF7061B"/>
    <w:rsid w:val="EFFBCCE9"/>
    <w:rsid w:val="F3FA67BC"/>
    <w:rsid w:val="F5FD2DBC"/>
    <w:rsid w:val="F5FD2F20"/>
    <w:rsid w:val="F60F1924"/>
    <w:rsid w:val="F671A2E1"/>
    <w:rsid w:val="F7F3823F"/>
    <w:rsid w:val="F7FB7865"/>
    <w:rsid w:val="F7FDF558"/>
    <w:rsid w:val="F99A192D"/>
    <w:rsid w:val="F9FFD1E4"/>
    <w:rsid w:val="FA39C6EA"/>
    <w:rsid w:val="FAF4B45F"/>
    <w:rsid w:val="FAFEE317"/>
    <w:rsid w:val="FAFF4C9F"/>
    <w:rsid w:val="FB7E3795"/>
    <w:rsid w:val="FBBF890F"/>
    <w:rsid w:val="FBBFF576"/>
    <w:rsid w:val="FBEF2DFC"/>
    <w:rsid w:val="FBF7B9D2"/>
    <w:rsid w:val="FDF71A72"/>
    <w:rsid w:val="FDFCD059"/>
    <w:rsid w:val="FE34A53A"/>
    <w:rsid w:val="FEA6DE13"/>
    <w:rsid w:val="FEAB1AAD"/>
    <w:rsid w:val="FEBF11EB"/>
    <w:rsid w:val="FEC7946F"/>
    <w:rsid w:val="FECC90BB"/>
    <w:rsid w:val="FEEEF5F2"/>
    <w:rsid w:val="FEF518D6"/>
    <w:rsid w:val="FEFBDB90"/>
    <w:rsid w:val="FEFDB58F"/>
    <w:rsid w:val="FF7BD5F0"/>
    <w:rsid w:val="FF7F68DC"/>
    <w:rsid w:val="FF8D733A"/>
    <w:rsid w:val="FFAF00E0"/>
    <w:rsid w:val="FFCFDFF5"/>
    <w:rsid w:val="FFF6D92D"/>
    <w:rsid w:val="FFF71E72"/>
    <w:rsid w:val="FFF931D7"/>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2024-05-17T13:31:00Z</dcterms:created>
  <dc:creator>fa</dc:creator>
  <cp:lastModifiedBy>陈宏燕</cp:lastModifiedBy>
  <cp:lastPrinted>2024-06-04T01:36:00Z</cp:lastPrinted>
  <dcterms:modified xsi:type="dcterms:W3CDTF">2024-08-16T15:31:44Z</dcterms:modified>
  <dc:title>光明区促进科技创新发展扶持计划高水平科技交流活动资助项目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