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val="0"/>
        <w:jc w:val="center"/>
        <w:rPr>
          <w:rFonts w:hint="eastAsia" w:ascii="黑体" w:hAnsi="黑体" w:eastAsia="黑体" w:cs="黑体"/>
          <w:color w:val="000000" w:themeColor="text1"/>
          <w:spacing w:val="-14"/>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14"/>
          <w:sz w:val="32"/>
          <w:szCs w:val="32"/>
          <w:highlight w:val="none"/>
          <w:lang w:eastAsia="zh-CN"/>
          <w14:textFill>
            <w14:solidFill>
              <w14:schemeClr w14:val="tx1"/>
            </w14:solidFill>
          </w14:textFill>
        </w:rPr>
        <w:t>南山区促进产业高质量发展专项资金——区文化广电旅游体育局分项资金</w:t>
      </w:r>
      <w:r>
        <w:rPr>
          <w:rFonts w:hint="eastAsia" w:ascii="黑体" w:hAnsi="黑体" w:eastAsia="黑体" w:cs="黑体"/>
          <w:color w:val="000000" w:themeColor="text1"/>
          <w:spacing w:val="-14"/>
          <w:sz w:val="32"/>
          <w:szCs w:val="32"/>
          <w:highlight w:val="none"/>
          <w14:textFill>
            <w14:solidFill>
              <w14:schemeClr w14:val="tx1"/>
            </w14:solidFill>
          </w14:textFill>
        </w:rPr>
        <w:t>支持举办电竞赛事</w:t>
      </w:r>
      <w:r>
        <w:rPr>
          <w:rFonts w:hint="eastAsia" w:ascii="黑体" w:hAnsi="黑体" w:eastAsia="黑体" w:cs="黑体"/>
          <w:color w:val="000000" w:themeColor="text1"/>
          <w:spacing w:val="-14"/>
          <w:sz w:val="32"/>
          <w:szCs w:val="32"/>
          <w:highlight w:val="none"/>
          <w:lang w:val="en-US" w:eastAsia="zh-CN"/>
          <w14:textFill>
            <w14:solidFill>
              <w14:schemeClr w14:val="tx1"/>
            </w14:solidFill>
          </w14:textFill>
        </w:rPr>
        <w:t>项目</w:t>
      </w:r>
    </w:p>
    <w:p>
      <w:pPr>
        <w:adjustRightInd w:val="0"/>
        <w:snapToGrid w:val="0"/>
        <w:spacing w:line="560" w:lineRule="exact"/>
        <w:contextualSpacing w:val="0"/>
        <w:jc w:val="center"/>
        <w:rPr>
          <w:rFonts w:hint="eastAsia" w:ascii="黑体" w:hAnsi="黑体" w:eastAsia="黑体" w:cs="黑体"/>
          <w:color w:val="000000" w:themeColor="text1"/>
          <w:spacing w:val="-14"/>
          <w:sz w:val="32"/>
          <w:szCs w:val="32"/>
          <w:highlight w:val="none"/>
          <w14:textFill>
            <w14:solidFill>
              <w14:schemeClr w14:val="tx1"/>
            </w14:solidFill>
          </w14:textFill>
        </w:rPr>
      </w:pPr>
      <w:r>
        <w:rPr>
          <w:rFonts w:hint="eastAsia" w:ascii="黑体" w:hAnsi="黑体" w:eastAsia="黑体" w:cs="黑体"/>
          <w:color w:val="000000" w:themeColor="text1"/>
          <w:spacing w:val="-14"/>
          <w:sz w:val="32"/>
          <w:szCs w:val="32"/>
          <w:highlight w:val="none"/>
          <w14:textFill>
            <w14:solidFill>
              <w14:schemeClr w14:val="tx1"/>
            </w14:solidFill>
          </w14:textFill>
        </w:rPr>
        <w:t>操作规程</w:t>
      </w:r>
    </w:p>
    <w:p>
      <w:pPr>
        <w:adjustRightInd w:val="0"/>
        <w:snapToGrid w:val="0"/>
        <w:spacing w:line="560" w:lineRule="exact"/>
        <w:jc w:val="center"/>
        <w:rPr>
          <w:rFonts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14:textFill>
            <w14:solidFill>
              <w14:schemeClr w14:val="tx1"/>
            </w14:solidFill>
          </w14:textFill>
        </w:rPr>
        <w:t>（</w:t>
      </w:r>
      <w:r>
        <w:rPr>
          <w:rFonts w:ascii="Times New Roman" w:hAnsi="Times New Roman" w:eastAsia="黑体" w:cs="Times New Roman"/>
          <w:b/>
          <w:bCs/>
          <w:color w:val="000000" w:themeColor="text1"/>
          <w:sz w:val="32"/>
          <w:szCs w:val="32"/>
          <w:highlight w:val="none"/>
          <w14:textFill>
            <w14:solidFill>
              <w14:schemeClr w14:val="tx1"/>
            </w14:solidFill>
          </w14:textFill>
        </w:rPr>
        <w:t>20</w:t>
      </w:r>
      <w:r>
        <w:rPr>
          <w:rFonts w:hint="default" w:ascii="Times New Roman" w:hAnsi="Times New Roman" w:eastAsia="黑体" w:cs="Times New Roman"/>
          <w:b/>
          <w:bCs/>
          <w:color w:val="000000" w:themeColor="text1"/>
          <w:sz w:val="32"/>
          <w:szCs w:val="32"/>
          <w:highlight w:val="none"/>
          <w14:textFill>
            <w14:solidFill>
              <w14:schemeClr w14:val="tx1"/>
            </w14:solidFill>
          </w14:textFill>
        </w:rPr>
        <w:t>2</w:t>
      </w: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黑体" w:cs="Times New Roman"/>
          <w:b/>
          <w:bCs/>
          <w:color w:val="000000" w:themeColor="text1"/>
          <w:sz w:val="32"/>
          <w:szCs w:val="32"/>
          <w:highlight w:val="none"/>
          <w14:textFill>
            <w14:solidFill>
              <w14:schemeClr w14:val="tx1"/>
            </w14:solidFill>
          </w14:textFill>
        </w:rPr>
        <w:t>年）</w:t>
      </w:r>
    </w:p>
    <w:p>
      <w:pPr>
        <w:adjustRightInd w:val="0"/>
        <w:snapToGrid w:val="0"/>
        <w:spacing w:line="560" w:lineRule="exact"/>
        <w:rPr>
          <w:rFonts w:hAnsi="仿宋" w:eastAsia="仿宋"/>
          <w:color w:val="000000" w:themeColor="text1"/>
          <w:sz w:val="32"/>
          <w:szCs w:val="32"/>
          <w:highlight w:val="none"/>
          <w14:textFill>
            <w14:solidFill>
              <w14:schemeClr w14:val="tx1"/>
            </w14:solidFill>
          </w14:textFill>
        </w:rPr>
      </w:pPr>
    </w:p>
    <w:p>
      <w:pPr>
        <w:widowControl/>
        <w:adjustRightInd w:val="0"/>
        <w:snapToGrid w:val="0"/>
        <w:spacing w:line="560" w:lineRule="exact"/>
        <w:ind w:firstLine="640" w:firstLineChars="200"/>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一、政策内容</w:t>
      </w:r>
    </w:p>
    <w:p>
      <w:pPr>
        <w:widowControl/>
        <w:spacing w:line="560" w:lineRule="exact"/>
        <w:ind w:firstLine="640"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（一）承办政府主办的重大电竞赛事。支持行业协会、专业机构、企业承办南山区政府组织举办的重大电竞赛事，</w:t>
      </w:r>
      <w:r>
        <w:rPr>
          <w:rFonts w:ascii="仿宋_GB2312" w:hAnsi="仿宋" w:eastAsia="仿宋_GB2312" w:cs="仿宋"/>
          <w:color w:val="000000" w:themeColor="text1"/>
          <w:sz w:val="32"/>
          <w:szCs w:val="32"/>
          <w:highlight w:val="none"/>
          <w14:textFill>
            <w14:solidFill>
              <w14:schemeClr w14:val="tx1"/>
            </w14:solidFill>
          </w14:textFill>
        </w:rPr>
        <w:t>每</w:t>
      </w:r>
      <w:r>
        <w:rPr>
          <w:rFonts w:hint="eastAsia" w:ascii="仿宋_GB2312" w:hAnsi="仿宋" w:eastAsia="仿宋_GB2312" w:cs="仿宋"/>
          <w:color w:val="000000" w:themeColor="text1"/>
          <w:sz w:val="32"/>
          <w:szCs w:val="32"/>
          <w:highlight w:val="none"/>
          <w14:textFill>
            <w14:solidFill>
              <w14:schemeClr w14:val="tx1"/>
            </w14:solidFill>
          </w14:textFill>
        </w:rPr>
        <w:t>个赛事给予最高不超过</w:t>
      </w:r>
      <w:r>
        <w:rPr>
          <w:rFonts w:ascii="仿宋_GB2312" w:hAnsi="仿宋" w:eastAsia="仿宋_GB2312" w:cs="仿宋"/>
          <w:color w:val="000000" w:themeColor="text1"/>
          <w:sz w:val="32"/>
          <w:szCs w:val="32"/>
          <w:highlight w:val="none"/>
          <w14:textFill>
            <w14:solidFill>
              <w14:schemeClr w14:val="tx1"/>
            </w14:solidFill>
          </w14:textFill>
        </w:rPr>
        <w:t>800</w:t>
      </w:r>
      <w:r>
        <w:rPr>
          <w:rFonts w:hint="eastAsia" w:ascii="仿宋_GB2312" w:hAnsi="仿宋" w:eastAsia="仿宋_GB2312" w:cs="仿宋"/>
          <w:color w:val="000000" w:themeColor="text1"/>
          <w:sz w:val="32"/>
          <w:szCs w:val="32"/>
          <w:highlight w:val="none"/>
          <w14:textFill>
            <w14:solidFill>
              <w14:schemeClr w14:val="tx1"/>
            </w14:solidFill>
          </w14:textFill>
        </w:rPr>
        <w:t>万元资助。</w:t>
      </w:r>
    </w:p>
    <w:p>
      <w:pPr>
        <w:widowControl/>
        <w:adjustRightInd w:val="0"/>
        <w:snapToGrid w:val="0"/>
        <w:spacing w:line="560" w:lineRule="exact"/>
        <w:ind w:firstLine="640"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（二）举办职业赛和特色电竞赛事。支持行业协会、专业机构、企业举办国际性/全国顶级职业杯赛/联赛电竞赛事，或高校类、区域类、联盟主场赛事等特色电竞赛事，每个赛事按照不超过实际发生费用</w:t>
      </w:r>
      <w:r>
        <w:rPr>
          <w:rFonts w:ascii="仿宋_GB2312" w:hAnsi="仿宋" w:eastAsia="仿宋_GB2312" w:cs="仿宋"/>
          <w:color w:val="000000" w:themeColor="text1"/>
          <w:sz w:val="32"/>
          <w:szCs w:val="32"/>
          <w:highlight w:val="none"/>
          <w14:textFill>
            <w14:solidFill>
              <w14:schemeClr w14:val="tx1"/>
            </w14:solidFill>
          </w14:textFill>
        </w:rPr>
        <w:t>50%的比例</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ascii="仿宋_GB2312" w:hAnsi="仿宋" w:eastAsia="仿宋_GB2312" w:cs="仿宋"/>
          <w:color w:val="000000" w:themeColor="text1"/>
          <w:sz w:val="32"/>
          <w:szCs w:val="32"/>
          <w:highlight w:val="none"/>
          <w14:textFill>
            <w14:solidFill>
              <w14:schemeClr w14:val="tx1"/>
            </w14:solidFill>
          </w14:textFill>
        </w:rPr>
        <w:t>给予最高不超过500万元资助</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ascii="仿宋_GB2312" w:hAnsi="仿宋" w:eastAsia="仿宋_GB2312" w:cs="仿宋"/>
          <w:color w:val="000000" w:themeColor="text1"/>
          <w:sz w:val="32"/>
          <w:szCs w:val="32"/>
          <w:highlight w:val="none"/>
          <w14:textFill>
            <w14:solidFill>
              <w14:schemeClr w14:val="tx1"/>
            </w14:solidFill>
          </w14:textFill>
        </w:rPr>
        <w:t>每家单位每年资助金额最高不超过</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ascii="仿宋_GB2312" w:hAnsi="仿宋" w:eastAsia="仿宋_GB2312" w:cs="仿宋"/>
          <w:color w:val="000000" w:themeColor="text1"/>
          <w:sz w:val="32"/>
          <w:szCs w:val="32"/>
          <w:highlight w:val="none"/>
          <w14:textFill>
            <w14:solidFill>
              <w14:schemeClr w14:val="tx1"/>
            </w14:solidFill>
          </w14:textFill>
        </w:rPr>
        <w:t>万元。</w:t>
      </w:r>
    </w:p>
    <w:p>
      <w:pPr>
        <w:widowControl/>
        <w:adjustRightInd w:val="0"/>
        <w:snapToGrid w:val="0"/>
        <w:spacing w:line="560" w:lineRule="exact"/>
        <w:ind w:firstLine="640" w:firstLineChars="200"/>
        <w:rPr>
          <w:rFonts w:hint="eastAsia" w:hAnsi="黑体" w:eastAsia="黑体"/>
          <w:color w:val="000000" w:themeColor="text1"/>
          <w:sz w:val="32"/>
          <w:szCs w:val="32"/>
          <w:highlight w:val="none"/>
          <w:lang w:val="en-US" w:eastAsia="zh-CN"/>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二</w:t>
      </w:r>
      <w:r>
        <w:rPr>
          <w:rFonts w:hint="eastAsia" w:hAnsi="黑体" w:eastAsia="黑体"/>
          <w:color w:val="000000" w:themeColor="text1"/>
          <w:sz w:val="32"/>
          <w:szCs w:val="32"/>
          <w:highlight w:val="none"/>
          <w14:textFill>
            <w14:solidFill>
              <w14:schemeClr w14:val="tx1"/>
            </w14:solidFill>
          </w14:textFill>
        </w:rPr>
        <w:t>、</w:t>
      </w:r>
      <w:r>
        <w:rPr>
          <w:rFonts w:hint="eastAsia" w:hAnsi="黑体" w:eastAsia="黑体"/>
          <w:color w:val="000000" w:themeColor="text1"/>
          <w:sz w:val="32"/>
          <w:szCs w:val="32"/>
          <w:highlight w:val="none"/>
          <w:lang w:val="en-US" w:eastAsia="zh-CN"/>
          <w14:textFill>
            <w14:solidFill>
              <w14:schemeClr w14:val="tx1"/>
            </w14:solidFill>
          </w14:textFill>
        </w:rPr>
        <w:t>设定依据</w:t>
      </w:r>
    </w:p>
    <w:p>
      <w:pPr>
        <w:widowControl/>
        <w:adjustRightInd w:val="0"/>
        <w:snapToGrid w:val="0"/>
        <w:spacing w:line="560" w:lineRule="exact"/>
        <w:ind w:firstLine="640"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为支持承办政府主办的重大电竞赛事，支持举办重点电竞职业联赛，鼓励举办高校电竞赛、粤港澳大湾区电竞赛等特色赛事，增强区域合作和协同发展，扩大南山区电竞产业影响力，根据《南山区促进现代产业高质量发展专项资金管理办法》和《南山区促进电竞产业发展专项扶持措施》，制定本操作规程。</w:t>
      </w:r>
    </w:p>
    <w:p>
      <w:pPr>
        <w:widowControl/>
        <w:adjustRightInd w:val="0"/>
        <w:snapToGrid w:val="0"/>
        <w:spacing w:line="560" w:lineRule="exact"/>
        <w:ind w:firstLine="640" w:firstLineChars="200"/>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三、申请条件</w:t>
      </w:r>
    </w:p>
    <w:p>
      <w:pPr>
        <w:adjustRightInd w:val="0"/>
        <w:snapToGrid w:val="0"/>
        <w:spacing w:line="56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（一）基本条件：</w:t>
      </w:r>
    </w:p>
    <w:p>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olor w:val="000000" w:themeColor="text1"/>
          <w:sz w:val="32"/>
          <w:szCs w:val="32"/>
          <w:highlight w:val="none"/>
          <w14:textFill>
            <w14:solidFill>
              <w14:schemeClr w14:val="tx1"/>
            </w14:solidFill>
          </w14:textFill>
        </w:rPr>
        <w:t>在南山辖区内登记注册、具有独立法人资格</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申请</w:t>
      </w:r>
      <w:r>
        <w:rPr>
          <w:rFonts w:hint="eastAsia" w:ascii="仿宋_GB2312" w:hAnsi="仿宋" w:eastAsia="仿宋_GB2312" w:cs="仿宋"/>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项目的，不受此项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限制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履行统计数据申报义务、守法经营、诚实守信、有规范健全的财务制度</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申请</w:t>
      </w:r>
      <w:r>
        <w:rPr>
          <w:rFonts w:hint="eastAsia" w:ascii="仿宋_GB2312" w:hAnsi="仿宋" w:eastAsia="仿宋_GB2312" w:cs="仿宋"/>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项目的，不受</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履行统计数据申报义务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”限制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14:textFill>
            <w14:solidFill>
              <w14:schemeClr w14:val="tx1"/>
            </w14:solidFill>
          </w14:textFill>
        </w:rPr>
        <w:t>其他除外情形的，由资金主管部门在产业扶持政策措施或其操作规程中另行作出明确规定。</w:t>
      </w:r>
    </w:p>
    <w:p>
      <w:pPr>
        <w:adjustRightInd w:val="0"/>
        <w:snapToGrid w:val="0"/>
        <w:spacing w:line="56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（二）不予资助情形：</w:t>
      </w:r>
    </w:p>
    <w:p>
      <w:pPr>
        <w:adjustRightInd w:val="0"/>
        <w:snapToGrid w:val="0"/>
        <w:spacing w:line="56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1、被依法依规纳入严重失信主体名单或失信惩戒措施清单的；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、提出资助申请后，申报主体注册地或在地统计关系发生变化，不再符合申报条件的</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申请</w:t>
      </w:r>
      <w:r>
        <w:rPr>
          <w:rFonts w:hint="eastAsia" w:ascii="仿宋_GB2312" w:hAnsi="仿宋" w:eastAsia="仿宋_GB2312" w:cs="仿宋"/>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项目的，不受此项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限制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w:t>
      </w:r>
    </w:p>
    <w:p>
      <w:pPr>
        <w:widowControl/>
        <w:adjustRightInd w:val="0"/>
        <w:snapToGrid w:val="0"/>
        <w:spacing w:line="560" w:lineRule="exact"/>
        <w:ind w:firstLine="640" w:firstLineChars="200"/>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四、申报类别</w:t>
      </w:r>
    </w:p>
    <w:p>
      <w:pPr>
        <w:pStyle w:val="17"/>
        <w:tabs>
          <w:tab w:val="left" w:pos="0"/>
        </w:tabs>
        <w:spacing w:line="560" w:lineRule="exact"/>
        <w:ind w:firstLine="640"/>
        <w:rPr>
          <w:rFonts w:ascii="仿宋" w:hAnsi="仿宋" w:eastAsia="仿宋" w:cs="Times New Roman"/>
          <w:color w:val="00B0F0"/>
          <w:sz w:val="32"/>
          <w:szCs w:val="32"/>
          <w:highlight w:val="none"/>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（一）</w:t>
      </w:r>
      <w:r>
        <w:rPr>
          <w:rFonts w:hint="eastAsia" w:ascii="仿宋_GB2312" w:hAnsi="仿宋" w:eastAsia="仿宋_GB2312" w:cs="仿宋"/>
          <w:b/>
          <w:bCs/>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s="仿宋"/>
          <w:color w:val="000000" w:themeColor="text1"/>
          <w:sz w:val="32"/>
          <w:szCs w:val="32"/>
          <w:highlight w:val="none"/>
          <w14:textFill>
            <w14:solidFill>
              <w14:schemeClr w14:val="tx1"/>
            </w14:solidFill>
          </w14:textFill>
        </w:rPr>
        <w:t>支持行业协会、专业机构、企业承办南山区政府组织主办的重大电竞赛事，</w:t>
      </w:r>
      <w:r>
        <w:rPr>
          <w:rFonts w:ascii="仿宋_GB2312" w:hAnsi="仿宋" w:eastAsia="仿宋_GB2312" w:cs="仿宋"/>
          <w:color w:val="000000" w:themeColor="text1"/>
          <w:sz w:val="32"/>
          <w:szCs w:val="32"/>
          <w:highlight w:val="none"/>
          <w14:textFill>
            <w14:solidFill>
              <w14:schemeClr w14:val="tx1"/>
            </w14:solidFill>
          </w14:textFill>
        </w:rPr>
        <w:t>每</w:t>
      </w:r>
      <w:r>
        <w:rPr>
          <w:rFonts w:hint="eastAsia" w:ascii="仿宋_GB2312" w:hAnsi="仿宋" w:eastAsia="仿宋_GB2312" w:cs="仿宋"/>
          <w:color w:val="000000" w:themeColor="text1"/>
          <w:sz w:val="32"/>
          <w:szCs w:val="32"/>
          <w:highlight w:val="none"/>
          <w14:textFill>
            <w14:solidFill>
              <w14:schemeClr w14:val="tx1"/>
            </w14:solidFill>
          </w14:textFill>
        </w:rPr>
        <w:t>个赛事给予最高不超过</w:t>
      </w:r>
      <w:r>
        <w:rPr>
          <w:rFonts w:ascii="仿宋_GB2312" w:hAnsi="仿宋" w:eastAsia="仿宋_GB2312" w:cs="仿宋"/>
          <w:color w:val="000000" w:themeColor="text1"/>
          <w:sz w:val="32"/>
          <w:szCs w:val="32"/>
          <w:highlight w:val="none"/>
          <w14:textFill>
            <w14:solidFill>
              <w14:schemeClr w14:val="tx1"/>
            </w14:solidFill>
          </w14:textFill>
        </w:rPr>
        <w:t>800</w:t>
      </w:r>
      <w:r>
        <w:rPr>
          <w:rFonts w:hint="eastAsia" w:ascii="仿宋_GB2312" w:hAnsi="仿宋" w:eastAsia="仿宋_GB2312" w:cs="仿宋"/>
          <w:color w:val="000000" w:themeColor="text1"/>
          <w:sz w:val="32"/>
          <w:szCs w:val="32"/>
          <w:highlight w:val="none"/>
          <w14:textFill>
            <w14:solidFill>
              <w14:schemeClr w14:val="tx1"/>
            </w14:solidFill>
          </w14:textFill>
        </w:rPr>
        <w:t>万元资助。</w:t>
      </w:r>
    </w:p>
    <w:p>
      <w:pPr>
        <w:adjustRightInd w:val="0"/>
        <w:snapToGrid w:val="0"/>
        <w:spacing w:line="560" w:lineRule="exact"/>
        <w:ind w:firstLine="640"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申报条件及说明：</w:t>
      </w:r>
    </w:p>
    <w:p>
      <w:pPr>
        <w:pStyle w:val="17"/>
        <w:tabs>
          <w:tab w:val="left" w:pos="0"/>
        </w:tabs>
        <w:spacing w:line="560" w:lineRule="exact"/>
        <w:ind w:firstLine="64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1）</w:t>
      </w:r>
      <w:r>
        <w:rPr>
          <w:rFonts w:hint="eastAsia" w:ascii="仿宋_GB2312" w:hAnsi="仿宋" w:eastAsia="仿宋_GB2312" w:cs="仿宋"/>
          <w:color w:val="000000" w:themeColor="text1"/>
          <w:sz w:val="32"/>
          <w:szCs w:val="32"/>
          <w:highlight w:val="none"/>
          <w14:textFill>
            <w14:solidFill>
              <w14:schemeClr w14:val="tx1"/>
            </w14:solidFill>
          </w14:textFill>
        </w:rPr>
        <w:t>重大电竞赛事的标准</w:t>
      </w:r>
      <w:r>
        <w:rPr>
          <w:rFonts w:hint="eastAsia" w:ascii="仿宋_GB2312" w:hAnsi="仿宋" w:eastAsia="仿宋_GB2312" w:cs="Times New Roman"/>
          <w:color w:val="000000"/>
          <w:sz w:val="32"/>
          <w:szCs w:val="32"/>
          <w:highlight w:val="none"/>
        </w:rPr>
        <w:t>：由南山区政府主办的国际性/全国性/区域性/主题性的重大电竞赛事，最终解释权归南山区政府。</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2）</w:t>
      </w:r>
      <w:r>
        <w:rPr>
          <w:rFonts w:ascii="仿宋_GB2312" w:hAnsi="仿宋" w:eastAsia="仿宋_GB2312" w:cs="仿宋"/>
          <w:color w:val="000000" w:themeColor="text1"/>
          <w:sz w:val="32"/>
          <w:szCs w:val="32"/>
          <w:highlight w:val="none"/>
          <w14:textFill>
            <w14:solidFill>
              <w14:schemeClr w14:val="tx1"/>
            </w14:solidFill>
          </w14:textFill>
        </w:rPr>
        <w:t>每</w:t>
      </w:r>
      <w:r>
        <w:rPr>
          <w:rFonts w:hint="eastAsia" w:ascii="仿宋_GB2312" w:hAnsi="仿宋" w:eastAsia="仿宋_GB2312" w:cs="仿宋"/>
          <w:color w:val="000000" w:themeColor="text1"/>
          <w:sz w:val="32"/>
          <w:szCs w:val="32"/>
          <w:highlight w:val="none"/>
          <w14:textFill>
            <w14:solidFill>
              <w14:schemeClr w14:val="tx1"/>
            </w14:solidFill>
          </w14:textFill>
        </w:rPr>
        <w:t>个赛事给予最高不超过</w:t>
      </w:r>
      <w:r>
        <w:rPr>
          <w:rFonts w:ascii="仿宋_GB2312" w:hAnsi="仿宋" w:eastAsia="仿宋_GB2312" w:cs="仿宋"/>
          <w:color w:val="000000" w:themeColor="text1"/>
          <w:sz w:val="32"/>
          <w:szCs w:val="32"/>
          <w:highlight w:val="none"/>
          <w14:textFill>
            <w14:solidFill>
              <w14:schemeClr w14:val="tx1"/>
            </w14:solidFill>
          </w14:textFill>
        </w:rPr>
        <w:t>800</w:t>
      </w:r>
      <w:r>
        <w:rPr>
          <w:rFonts w:hint="eastAsia" w:ascii="仿宋_GB2312" w:hAnsi="仿宋" w:eastAsia="仿宋_GB2312" w:cs="仿宋"/>
          <w:color w:val="000000" w:themeColor="text1"/>
          <w:sz w:val="32"/>
          <w:szCs w:val="32"/>
          <w:highlight w:val="none"/>
          <w14:textFill>
            <w14:solidFill>
              <w14:schemeClr w14:val="tx1"/>
            </w14:solidFill>
          </w14:textFill>
        </w:rPr>
        <w:t>万元的事前资助</w:t>
      </w:r>
      <w:r>
        <w:rPr>
          <w:rFonts w:hint="eastAsia" w:ascii="仿宋_GB2312" w:hAnsi="仿宋" w:eastAsia="仿宋_GB2312" w:cs="Times New Roman"/>
          <w:color w:val="000000"/>
          <w:sz w:val="32"/>
          <w:szCs w:val="32"/>
          <w:highlight w:val="none"/>
        </w:rPr>
        <w:t>。</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3</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资助范围为本年度举办的重大电竞赛事。</w:t>
      </w:r>
    </w:p>
    <w:p>
      <w:pPr>
        <w:pStyle w:val="17"/>
        <w:tabs>
          <w:tab w:val="left" w:pos="0"/>
        </w:tabs>
        <w:spacing w:line="560" w:lineRule="exact"/>
        <w:ind w:firstLine="64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4</w:t>
      </w:r>
      <w:r>
        <w:rPr>
          <w:rFonts w:hint="eastAsia" w:ascii="仿宋_GB2312" w:hAnsi="仿宋" w:eastAsia="仿宋_GB2312" w:cs="Times New Roman"/>
          <w:color w:val="000000"/>
          <w:sz w:val="32"/>
          <w:szCs w:val="32"/>
          <w:highlight w:val="none"/>
        </w:rPr>
        <w:t>）重大电竞赛事，需由南山区政府批准，由南山区文化广电旅游体育局组织，由</w:t>
      </w:r>
      <w:r>
        <w:rPr>
          <w:rFonts w:hint="eastAsia" w:ascii="仿宋_GB2312" w:hAnsi="仿宋" w:eastAsia="仿宋_GB2312" w:cs="仿宋"/>
          <w:color w:val="000000" w:themeColor="text1"/>
          <w:sz w:val="32"/>
          <w:szCs w:val="32"/>
          <w:highlight w:val="none"/>
          <w14:textFill>
            <w14:solidFill>
              <w14:schemeClr w14:val="tx1"/>
            </w14:solidFill>
          </w14:textFill>
        </w:rPr>
        <w:t>行业协会、专业机构、企业承办</w:t>
      </w:r>
      <w:r>
        <w:rPr>
          <w:rFonts w:hint="eastAsia" w:ascii="仿宋_GB2312" w:hAnsi="仿宋" w:eastAsia="仿宋_GB2312" w:cs="Times New Roman"/>
          <w:color w:val="000000"/>
          <w:sz w:val="32"/>
          <w:szCs w:val="32"/>
          <w:highlight w:val="none"/>
        </w:rPr>
        <w:t>。</w:t>
      </w:r>
    </w:p>
    <w:p>
      <w:pPr>
        <w:widowControl/>
        <w:spacing w:line="560" w:lineRule="exact"/>
        <w:ind w:firstLine="643"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（二）</w:t>
      </w:r>
      <w:r>
        <w:rPr>
          <w:rFonts w:hint="eastAsia" w:ascii="仿宋_GB2312" w:hAnsi="仿宋" w:eastAsia="仿宋_GB2312" w:cs="仿宋"/>
          <w:b/>
          <w:bCs/>
          <w:color w:val="000000" w:themeColor="text1"/>
          <w:sz w:val="32"/>
          <w:szCs w:val="32"/>
          <w:highlight w:val="none"/>
          <w14:textFill>
            <w14:solidFill>
              <w14:schemeClr w14:val="tx1"/>
            </w14:solidFill>
          </w14:textFill>
        </w:rPr>
        <w:t>举办职业电竞赛事和特色电竞赛事。</w:t>
      </w:r>
      <w:r>
        <w:rPr>
          <w:rFonts w:hint="eastAsia" w:ascii="仿宋_GB2312" w:hAnsi="仿宋" w:eastAsia="仿宋_GB2312" w:cs="仿宋"/>
          <w:color w:val="000000" w:themeColor="text1"/>
          <w:sz w:val="32"/>
          <w:szCs w:val="32"/>
          <w:highlight w:val="none"/>
          <w14:textFill>
            <w14:solidFill>
              <w14:schemeClr w14:val="tx1"/>
            </w14:solidFill>
          </w14:textFill>
        </w:rPr>
        <w:t>支持行业协会、专业机构、企业举办国际性/全国性顶级职业电竞赛事，或高校类、区域类、联盟主场赛事等特色电竞赛事，每个赛事按照不超过实际发生费用</w:t>
      </w:r>
      <w:r>
        <w:rPr>
          <w:rFonts w:ascii="仿宋_GB2312" w:hAnsi="仿宋" w:eastAsia="仿宋_GB2312" w:cs="仿宋"/>
          <w:color w:val="000000" w:themeColor="text1"/>
          <w:sz w:val="32"/>
          <w:szCs w:val="32"/>
          <w:highlight w:val="none"/>
          <w14:textFill>
            <w14:solidFill>
              <w14:schemeClr w14:val="tx1"/>
            </w14:solidFill>
          </w14:textFill>
        </w:rPr>
        <w:t>50%的比例</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ascii="仿宋_GB2312" w:hAnsi="仿宋" w:eastAsia="仿宋_GB2312" w:cs="仿宋"/>
          <w:color w:val="000000" w:themeColor="text1"/>
          <w:sz w:val="32"/>
          <w:szCs w:val="32"/>
          <w:highlight w:val="none"/>
          <w14:textFill>
            <w14:solidFill>
              <w14:schemeClr w14:val="tx1"/>
            </w14:solidFill>
          </w14:textFill>
        </w:rPr>
        <w:t>给予最高不超过500万元资助</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ascii="仿宋_GB2312" w:hAnsi="仿宋" w:eastAsia="仿宋_GB2312" w:cs="仿宋"/>
          <w:color w:val="000000" w:themeColor="text1"/>
          <w:sz w:val="32"/>
          <w:szCs w:val="32"/>
          <w:highlight w:val="none"/>
          <w14:textFill>
            <w14:solidFill>
              <w14:schemeClr w14:val="tx1"/>
            </w14:solidFill>
          </w14:textFill>
        </w:rPr>
        <w:t>每家单位每年资助金额最高不超过</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ascii="仿宋_GB2312" w:hAnsi="仿宋" w:eastAsia="仿宋_GB2312" w:cs="仿宋"/>
          <w:color w:val="000000" w:themeColor="text1"/>
          <w:sz w:val="32"/>
          <w:szCs w:val="32"/>
          <w:highlight w:val="none"/>
          <w14:textFill>
            <w14:solidFill>
              <w14:schemeClr w14:val="tx1"/>
            </w14:solidFill>
          </w14:textFill>
        </w:rPr>
        <w:t>万元。</w:t>
      </w:r>
    </w:p>
    <w:p>
      <w:pPr>
        <w:pStyle w:val="17"/>
        <w:tabs>
          <w:tab w:val="left" w:pos="0"/>
        </w:tabs>
        <w:spacing w:line="560" w:lineRule="exact"/>
        <w:ind w:firstLine="64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申报条件及说明：</w:t>
      </w:r>
    </w:p>
    <w:p>
      <w:pPr>
        <w:widowControl/>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1）</w:t>
      </w:r>
      <w:r>
        <w:rPr>
          <w:rFonts w:hint="eastAsia" w:ascii="仿宋_GB2312" w:hAnsi="仿宋" w:eastAsia="仿宋_GB2312" w:cs="仿宋"/>
          <w:color w:val="000000" w:themeColor="text1"/>
          <w:sz w:val="32"/>
          <w:szCs w:val="32"/>
          <w:highlight w:val="none"/>
          <w14:textFill>
            <w14:solidFill>
              <w14:schemeClr w14:val="tx1"/>
            </w14:solidFill>
          </w14:textFill>
        </w:rPr>
        <w:t>举办职业电竞赛事和特色电竞赛事</w:t>
      </w:r>
      <w:r>
        <w:rPr>
          <w:rFonts w:hint="eastAsia" w:ascii="仿宋_GB2312" w:hAnsi="仿宋" w:eastAsia="仿宋_GB2312" w:cs="Times New Roman"/>
          <w:color w:val="000000"/>
          <w:sz w:val="32"/>
          <w:szCs w:val="32"/>
          <w:highlight w:val="none"/>
        </w:rPr>
        <w:t>的</w:t>
      </w:r>
      <w:r>
        <w:rPr>
          <w:rFonts w:hint="eastAsia" w:ascii="仿宋_GB2312" w:hAnsi="仿宋" w:eastAsia="仿宋_GB2312" w:cs="Times New Roman"/>
          <w:color w:val="000000"/>
          <w:sz w:val="32"/>
          <w:szCs w:val="32"/>
          <w:highlight w:val="none"/>
          <w:lang w:val="en-US" w:eastAsia="zh-CN"/>
        </w:rPr>
        <w:t>资助</w:t>
      </w:r>
      <w:r>
        <w:rPr>
          <w:rFonts w:hint="eastAsia" w:ascii="仿宋_GB2312" w:hAnsi="仿宋" w:eastAsia="仿宋_GB2312" w:cs="Times New Roman"/>
          <w:color w:val="000000"/>
          <w:sz w:val="32"/>
          <w:szCs w:val="32"/>
          <w:highlight w:val="none"/>
        </w:rPr>
        <w:t>标准：</w:t>
      </w:r>
      <w:bookmarkStart w:id="0" w:name="_Hlk109896820"/>
      <w:r>
        <w:rPr>
          <w:rFonts w:hint="eastAsia" w:ascii="仿宋_GB2312" w:hAnsi="仿宋" w:eastAsia="仿宋_GB2312" w:cs="仿宋"/>
          <w:color w:val="000000" w:themeColor="text1"/>
          <w:sz w:val="32"/>
          <w:szCs w:val="32"/>
          <w:highlight w:val="none"/>
          <w14:textFill>
            <w14:solidFill>
              <w14:schemeClr w14:val="tx1"/>
            </w14:solidFill>
          </w14:textFill>
        </w:rPr>
        <w:t>举办国际性顶级职业赛事，给予每个赛事最高不超过500万元资助，每家单位每年资助总额不超过1000万元；举办全国性顶级职业赛事，给予每个赛事最高不超过300万元资助，每家单位每年资助总额不超过600万元；举办特色电竞赛事，给予每个赛事最高不超过100万元资助，每家单位每年资助总额不超过200万元</w:t>
      </w:r>
      <w:bookmarkEnd w:id="0"/>
      <w:r>
        <w:rPr>
          <w:rFonts w:hint="eastAsia" w:ascii="仿宋_GB2312" w:hAnsi="仿宋" w:eastAsia="仿宋_GB2312" w:cs="仿宋"/>
          <w:color w:val="000000" w:themeColor="text1"/>
          <w:sz w:val="32"/>
          <w:szCs w:val="32"/>
          <w:highlight w:val="none"/>
          <w14:textFill>
            <w14:solidFill>
              <w14:schemeClr w14:val="tx1"/>
            </w14:solidFill>
          </w14:textFill>
        </w:rPr>
        <w:t>。上述赛事，每个赛事按照不超过实际发生费用50%比例的给予资助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每家单位每年资助金额最高不超过1000万元。</w:t>
      </w:r>
    </w:p>
    <w:p>
      <w:pPr>
        <w:pStyle w:val="17"/>
        <w:tabs>
          <w:tab w:val="left" w:pos="0"/>
        </w:tabs>
        <w:spacing w:line="560" w:lineRule="exact"/>
        <w:ind w:firstLine="640"/>
        <w:rPr>
          <w:rFonts w:hint="eastAsia" w:ascii="仿宋_GB2312" w:hAnsi="仿宋" w:eastAsia="仿宋_GB2312" w:cs="Times New Roman"/>
          <w:color w:val="000000"/>
          <w:kern w:val="2"/>
          <w:sz w:val="32"/>
          <w:szCs w:val="32"/>
          <w:highlight w:val="none"/>
          <w:lang w:val="en-US" w:eastAsia="zh-CN" w:bidi="ar-SA"/>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kern w:val="2"/>
          <w:sz w:val="32"/>
          <w:szCs w:val="32"/>
          <w:highlight w:val="none"/>
          <w:lang w:val="en-US" w:eastAsia="zh-CN" w:bidi="ar-SA"/>
        </w:rPr>
        <w:t>2）职业电竞赛事的标准：获得游戏版权官方授权，国际性赛事的总奖金不低于100万美元或600万元人民币，全国性赛事的总奖金不低于300万元人民币。</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3</w:t>
      </w:r>
      <w:r>
        <w:rPr>
          <w:rFonts w:hint="eastAsia" w:ascii="仿宋_GB2312" w:hAnsi="仿宋" w:eastAsia="仿宋_GB2312" w:cs="Times New Roman"/>
          <w:color w:val="000000"/>
          <w:sz w:val="32"/>
          <w:szCs w:val="32"/>
          <w:highlight w:val="none"/>
        </w:rPr>
        <w:t>）特色电竞赛事</w:t>
      </w:r>
      <w:r>
        <w:rPr>
          <w:rFonts w:hint="eastAsia" w:ascii="仿宋_GB2312" w:hAnsi="仿宋" w:eastAsia="仿宋_GB2312" w:cs="Times New Roman"/>
          <w:color w:val="000000"/>
          <w:sz w:val="32"/>
          <w:szCs w:val="32"/>
          <w:highlight w:val="none"/>
          <w:lang w:val="en-US" w:eastAsia="zh-CN"/>
        </w:rPr>
        <w:t>分以下类别</w:t>
      </w:r>
      <w:r>
        <w:rPr>
          <w:rFonts w:hint="eastAsia" w:ascii="仿宋_GB2312" w:hAnsi="仿宋" w:eastAsia="仿宋_GB2312" w:cs="Times New Roman"/>
          <w:color w:val="000000"/>
          <w:sz w:val="32"/>
          <w:szCs w:val="32"/>
          <w:highlight w:val="none"/>
        </w:rPr>
        <w:t>：</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val="en-US" w:eastAsia="zh-CN"/>
        </w:rPr>
        <w:t>1</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高校电竞赛，要求有</w:t>
      </w:r>
      <w:r>
        <w:rPr>
          <w:rFonts w:hint="eastAsia" w:ascii="仿宋_GB2312" w:hAnsi="仿宋" w:eastAsia="仿宋_GB2312" w:cs="Times New Roman"/>
          <w:color w:val="000000"/>
          <w:sz w:val="32"/>
          <w:szCs w:val="32"/>
          <w:highlight w:val="none"/>
          <w:lang w:val="en-US" w:eastAsia="zh-CN"/>
        </w:rPr>
        <w:t>10所以</w:t>
      </w:r>
      <w:r>
        <w:rPr>
          <w:rFonts w:hint="eastAsia" w:ascii="仿宋_GB2312" w:hAnsi="仿宋" w:eastAsia="仿宋_GB2312" w:cs="Times New Roman"/>
          <w:color w:val="000000"/>
          <w:sz w:val="32"/>
          <w:szCs w:val="32"/>
          <w:highlight w:val="none"/>
        </w:rPr>
        <w:t>上高校</w:t>
      </w:r>
      <w:r>
        <w:rPr>
          <w:rFonts w:hint="eastAsia" w:ascii="仿宋_GB2312" w:hAnsi="仿宋" w:eastAsia="仿宋_GB2312" w:cs="Times New Roman"/>
          <w:color w:val="000000"/>
          <w:sz w:val="32"/>
          <w:szCs w:val="32"/>
          <w:highlight w:val="none"/>
          <w:lang w:val="en-US" w:eastAsia="zh-CN"/>
        </w:rPr>
        <w:t>参与</w:t>
      </w:r>
      <w:r>
        <w:rPr>
          <w:rFonts w:hint="eastAsia" w:ascii="仿宋_GB2312" w:hAnsi="仿宋" w:eastAsia="仿宋_GB2312" w:cs="Times New Roman"/>
          <w:color w:val="000000"/>
          <w:sz w:val="32"/>
          <w:szCs w:val="32"/>
          <w:highlight w:val="none"/>
        </w:rPr>
        <w:t>、</w:t>
      </w:r>
      <w:r>
        <w:rPr>
          <w:rFonts w:hint="eastAsia" w:ascii="仿宋_GB2312" w:hAnsi="仿宋" w:eastAsia="仿宋_GB2312" w:cs="Times New Roman"/>
          <w:color w:val="000000"/>
          <w:sz w:val="32"/>
          <w:szCs w:val="32"/>
          <w:highlight w:val="none"/>
          <w:lang w:val="en-US" w:eastAsia="zh-CN"/>
        </w:rPr>
        <w:t>2000名以上选手</w:t>
      </w:r>
      <w:r>
        <w:rPr>
          <w:rFonts w:hint="eastAsia" w:ascii="仿宋_GB2312" w:hAnsi="仿宋" w:eastAsia="仿宋_GB2312" w:cs="Times New Roman"/>
          <w:color w:val="000000"/>
          <w:sz w:val="32"/>
          <w:szCs w:val="32"/>
          <w:highlight w:val="none"/>
        </w:rPr>
        <w:t>参加比赛；</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val="en-US" w:eastAsia="zh-CN"/>
        </w:rPr>
        <w:t>2</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区域类电竞赛，要求须含深圳在内的不少于10个地市级以上城市代表队、总选手人数不少于1000人参加比赛，或须含香港、澳门和深圳在内的地级市不少于5个以上城市代表队、总选手人数不少于500人参加的粤港澳大湾区电竞赛事；</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lang w:eastAsia="zh-CN"/>
        </w:rPr>
      </w:pPr>
      <w:r>
        <w:rPr>
          <w:rFonts w:hint="eastAsia" w:ascii="仿宋_GB2312" w:hAnsi="仿宋" w:eastAsia="仿宋_GB2312" w:cs="Times New Roman"/>
          <w:color w:val="000000"/>
          <w:sz w:val="32"/>
          <w:szCs w:val="32"/>
          <w:highlight w:val="none"/>
          <w:lang w:val="en-US" w:eastAsia="zh-CN"/>
        </w:rPr>
        <w:t>3</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经备案的</w:t>
      </w:r>
      <w:r>
        <w:rPr>
          <w:rFonts w:hint="eastAsia" w:ascii="仿宋_GB2312" w:hAnsi="仿宋" w:eastAsia="仿宋_GB2312" w:cs="Times New Roman"/>
          <w:color w:val="000000"/>
          <w:sz w:val="32"/>
          <w:szCs w:val="32"/>
          <w:highlight w:val="none"/>
        </w:rPr>
        <w:t>主场落户南山区的电竞俱乐部，在南山区举办的联盟主场赛事</w:t>
      </w:r>
      <w:r>
        <w:rPr>
          <w:rFonts w:hint="eastAsia" w:ascii="仿宋_GB2312" w:hAnsi="仿宋" w:eastAsia="仿宋_GB2312" w:cs="Times New Roman"/>
          <w:color w:val="000000"/>
          <w:sz w:val="32"/>
          <w:szCs w:val="32"/>
          <w:highlight w:val="none"/>
          <w:lang w:eastAsia="zh-CN"/>
        </w:rPr>
        <w:t>；</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lang w:val="en-US" w:eastAsia="zh-CN"/>
        </w:rPr>
      </w:pPr>
      <w:r>
        <w:rPr>
          <w:rFonts w:hint="eastAsia" w:ascii="仿宋_GB2312" w:hAnsi="仿宋" w:eastAsia="仿宋_GB2312" w:cs="Times New Roman"/>
          <w:color w:val="000000"/>
          <w:sz w:val="32"/>
          <w:szCs w:val="32"/>
          <w:highlight w:val="none"/>
          <w:lang w:val="en-US" w:eastAsia="zh-CN"/>
        </w:rPr>
        <w:t>4</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机器人格斗、虚拟无人机等电子体育赛事，要求总选手人数不少于200人；</w:t>
      </w:r>
    </w:p>
    <w:p>
      <w:pPr>
        <w:pStyle w:val="17"/>
        <w:tabs>
          <w:tab w:val="left" w:pos="0"/>
        </w:tabs>
        <w:spacing w:line="560" w:lineRule="exact"/>
        <w:ind w:firstLine="640"/>
        <w:rPr>
          <w:rFonts w:hint="default" w:ascii="仿宋_GB2312" w:hAnsi="仿宋" w:eastAsia="仿宋_GB2312" w:cs="Times New Roman"/>
          <w:color w:val="000000"/>
          <w:sz w:val="32"/>
          <w:szCs w:val="32"/>
          <w:highlight w:val="none"/>
          <w:lang w:val="en-US" w:eastAsia="zh-CN"/>
        </w:rPr>
      </w:pPr>
      <w:r>
        <w:rPr>
          <w:rFonts w:hint="eastAsia" w:ascii="仿宋_GB2312" w:hAnsi="仿宋" w:eastAsia="仿宋_GB2312" w:cs="Times New Roman"/>
          <w:color w:val="000000"/>
          <w:sz w:val="32"/>
          <w:szCs w:val="32"/>
          <w:highlight w:val="none"/>
          <w:lang w:val="en-US" w:eastAsia="zh-CN"/>
        </w:rPr>
        <w:t>5</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符合南山区电竞产业发展需求和发展方向其他特色电竞赛事。</w:t>
      </w:r>
    </w:p>
    <w:p>
      <w:pPr>
        <w:pStyle w:val="17"/>
        <w:tabs>
          <w:tab w:val="left" w:pos="0"/>
        </w:tabs>
        <w:spacing w:line="560" w:lineRule="exact"/>
        <w:ind w:firstLine="64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4）实际发生费用包括场地费、搭建费、直转播费、设备租赁费、网络费、宣传推广费、安保费、其他临时人员劳务费等费用，不包括电竞赛事奖金。场地费用限定在南山区。</w:t>
      </w:r>
    </w:p>
    <w:p>
      <w:pPr>
        <w:pStyle w:val="17"/>
        <w:tabs>
          <w:tab w:val="left" w:pos="0"/>
        </w:tabs>
        <w:spacing w:line="560" w:lineRule="exact"/>
        <w:ind w:firstLine="64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5</w:t>
      </w:r>
      <w:r>
        <w:rPr>
          <w:rFonts w:hint="eastAsia" w:ascii="仿宋_GB2312" w:hAnsi="仿宋" w:eastAsia="仿宋_GB2312" w:cs="Times New Roman"/>
          <w:color w:val="000000"/>
          <w:sz w:val="32"/>
          <w:szCs w:val="32"/>
          <w:highlight w:val="none"/>
        </w:rPr>
        <w:t>）</w:t>
      </w:r>
      <w:r>
        <w:rPr>
          <w:rFonts w:hint="eastAsia" w:ascii="仿宋_GB2312" w:hAnsi="仿宋" w:eastAsia="仿宋_GB2312" w:cs="Times New Roman"/>
          <w:color w:val="000000"/>
          <w:sz w:val="32"/>
          <w:szCs w:val="32"/>
          <w:highlight w:val="none"/>
          <w:lang w:val="en-US" w:eastAsia="zh-CN"/>
        </w:rPr>
        <w:t>资助范围为上年度举办的电竞赛事。</w:t>
      </w:r>
    </w:p>
    <w:p>
      <w:pPr>
        <w:pStyle w:val="17"/>
        <w:tabs>
          <w:tab w:val="left" w:pos="0"/>
        </w:tabs>
        <w:spacing w:line="560" w:lineRule="exact"/>
        <w:ind w:firstLine="64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6</w:t>
      </w:r>
      <w:r>
        <w:rPr>
          <w:rFonts w:hint="eastAsia" w:ascii="仿宋_GB2312" w:hAnsi="仿宋" w:eastAsia="仿宋_GB2312" w:cs="Times New Roman"/>
          <w:color w:val="000000"/>
          <w:sz w:val="32"/>
          <w:szCs w:val="32"/>
          <w:highlight w:val="none"/>
        </w:rPr>
        <w:t>）职业电竞赛事和特色电竞赛事，需先报南山区文化广电旅游体育局备案。</w:t>
      </w:r>
    </w:p>
    <w:p>
      <w:pPr>
        <w:widowControl/>
        <w:adjustRightInd w:val="0"/>
        <w:snapToGrid w:val="0"/>
        <w:spacing w:line="560" w:lineRule="exact"/>
        <w:ind w:firstLine="537" w:firstLineChars="168"/>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五</w:t>
      </w:r>
      <w:r>
        <w:rPr>
          <w:rFonts w:hint="eastAsia" w:hAnsi="黑体" w:eastAsia="黑体"/>
          <w:color w:val="000000" w:themeColor="text1"/>
          <w:sz w:val="32"/>
          <w:szCs w:val="32"/>
          <w:highlight w:val="none"/>
          <w14:textFill>
            <w14:solidFill>
              <w14:schemeClr w14:val="tx1"/>
            </w14:solidFill>
          </w14:textFill>
        </w:rPr>
        <w:t>、资助方式</w:t>
      </w:r>
    </w:p>
    <w:p>
      <w:pPr>
        <w:widowControl/>
        <w:adjustRightInd w:val="0"/>
        <w:snapToGrid w:val="0"/>
        <w:spacing w:line="560" w:lineRule="exact"/>
        <w:ind w:firstLine="537" w:firstLineChars="168"/>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本项资金资助属于核准类项目，资助资金的安排使用坚持公平、公开、公正的原则，实行自愿申报、科学决策和绩效评估的管理制度，采取无偿资助方式和</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事前（</w:t>
      </w:r>
      <w:r>
        <w:rPr>
          <w:rFonts w:hint="eastAsia" w:ascii="仿宋_GB2312" w:hAnsi="仿宋" w:eastAsia="仿宋_GB2312" w:cs="仿宋"/>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）或</w:t>
      </w:r>
      <w:r>
        <w:rPr>
          <w:rFonts w:hint="eastAsia" w:ascii="仿宋_GB2312" w:hAnsi="仿宋" w:eastAsia="仿宋_GB2312"/>
          <w:color w:val="000000" w:themeColor="text1"/>
          <w:sz w:val="32"/>
          <w:szCs w:val="32"/>
          <w:highlight w:val="none"/>
          <w14:textFill>
            <w14:solidFill>
              <w14:schemeClr w14:val="tx1"/>
            </w14:solidFill>
          </w14:textFill>
        </w:rPr>
        <w:t>事后</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举办职业赛和特色电竞赛事</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补贴制，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事前</w:t>
      </w:r>
      <w:r>
        <w:rPr>
          <w:rFonts w:hint="eastAsia" w:ascii="仿宋_GB2312" w:hAnsi="仿宋" w:eastAsia="仿宋_GB2312"/>
          <w:color w:val="000000" w:themeColor="text1"/>
          <w:sz w:val="32"/>
          <w:szCs w:val="32"/>
          <w:highlight w:val="none"/>
          <w14:textFill>
            <w14:solidFill>
              <w14:schemeClr w14:val="tx1"/>
            </w14:solidFill>
          </w14:textFill>
        </w:rPr>
        <w:t>资助项目需验收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事后</w:t>
      </w:r>
      <w:r>
        <w:rPr>
          <w:rFonts w:hint="eastAsia" w:ascii="仿宋_GB2312" w:hAnsi="仿宋" w:eastAsia="仿宋_GB2312"/>
          <w:color w:val="000000" w:themeColor="text1"/>
          <w:sz w:val="32"/>
          <w:szCs w:val="32"/>
          <w:highlight w:val="none"/>
          <w14:textFill>
            <w14:solidFill>
              <w14:schemeClr w14:val="tx1"/>
            </w14:solidFill>
          </w14:textFill>
        </w:rPr>
        <w:t>资助项目无需验收。</w:t>
      </w:r>
    </w:p>
    <w:p>
      <w:pPr>
        <w:spacing w:after="0" w:line="240" w:lineRule="auto"/>
        <w:ind w:firstLine="0" w:firstLineChars="0"/>
        <w:contextualSpacing w:val="0"/>
        <w:rPr>
          <w:rFonts w:hint="eastAsia" w:hAnsi="黑体" w:eastAsia="黑体"/>
          <w:color w:val="000000"/>
          <w:sz w:val="32"/>
          <w:szCs w:val="32"/>
          <w:highlight w:val="none"/>
          <w:lang w:eastAsia="zh-CN"/>
        </w:rPr>
      </w:pPr>
      <w:r>
        <w:rPr>
          <w:rFonts w:hint="eastAsia" w:hAnsi="黑体" w:eastAsia="黑体"/>
          <w:color w:val="000000"/>
          <w:sz w:val="32"/>
          <w:szCs w:val="32"/>
          <w:highlight w:val="none"/>
          <w:lang w:eastAsia="zh-CN"/>
        </w:rPr>
        <w:br w:type="page"/>
      </w:r>
    </w:p>
    <w:p>
      <w:pPr>
        <w:spacing w:after="0" w:line="560" w:lineRule="exact"/>
        <w:ind w:firstLine="640" w:firstLineChars="200"/>
        <w:contextualSpacing/>
        <w:rPr>
          <w:rFonts w:hAnsi="黑体" w:eastAsia="黑体"/>
          <w:color w:val="000000"/>
          <w:sz w:val="32"/>
          <w:szCs w:val="32"/>
          <w:highlight w:val="none"/>
        </w:rPr>
      </w:pPr>
      <w:r>
        <w:rPr>
          <w:rFonts w:hint="eastAsia" w:hAnsi="黑体" w:eastAsia="黑体"/>
          <w:color w:val="000000"/>
          <w:sz w:val="32"/>
          <w:szCs w:val="32"/>
          <w:highlight w:val="none"/>
          <w:lang w:eastAsia="zh-CN"/>
        </w:rPr>
        <w:t>六</w:t>
      </w:r>
      <w:r>
        <w:rPr>
          <w:rFonts w:hint="eastAsia" w:hAnsi="黑体" w:eastAsia="黑体"/>
          <w:color w:val="000000"/>
          <w:sz w:val="32"/>
          <w:szCs w:val="32"/>
          <w:highlight w:val="none"/>
        </w:rPr>
        <w:t>、</w:t>
      </w:r>
      <w:r>
        <w:rPr>
          <w:rFonts w:hint="eastAsia" w:ascii="黑体" w:hAnsi="黑体" w:eastAsia="黑体"/>
          <w:bCs/>
          <w:kern w:val="2"/>
          <w:sz w:val="32"/>
          <w:szCs w:val="32"/>
          <w:highlight w:val="none"/>
          <w:lang w:eastAsia="zh-CN" w:bidi="ar-SA"/>
        </w:rPr>
        <w:t>办理流程</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文化广电旅游体育</w:t>
      </w:r>
      <w:r>
        <w:rPr>
          <w:rFonts w:hint="eastAsia" w:ascii="仿宋_GB2312" w:eastAsia="仿宋_GB2312"/>
          <w:sz w:val="32"/>
          <w:szCs w:val="32"/>
          <w:highlight w:val="none"/>
          <w:lang w:eastAsia="zh-CN"/>
        </w:rPr>
        <w:t xml:space="preserve">局复审项目申报材料； </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w:t>
      </w:r>
      <w:r>
        <w:rPr>
          <w:rFonts w:hint="eastAsia" w:ascii="仿宋_GB2312" w:eastAsia="仿宋_GB2312"/>
          <w:sz w:val="32"/>
          <w:szCs w:val="32"/>
          <w:highlight w:val="none"/>
          <w:lang w:val="en-US" w:eastAsia="zh-CN"/>
        </w:rPr>
        <w:t>文化广电旅游体育</w:t>
      </w:r>
      <w:r>
        <w:rPr>
          <w:rFonts w:hint="eastAsia" w:ascii="仿宋_GB2312" w:eastAsia="仿宋_GB2312"/>
          <w:sz w:val="32"/>
          <w:szCs w:val="32"/>
          <w:highlight w:val="none"/>
          <w:lang w:eastAsia="zh-CN"/>
        </w:rPr>
        <w:t>局拟定资助计划；</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不良信用记录等情况进行核查</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文化广电旅游体育</w:t>
      </w:r>
      <w:r>
        <w:rPr>
          <w:rFonts w:hint="eastAsia" w:ascii="仿宋_GB2312" w:eastAsia="仿宋_GB2312"/>
          <w:sz w:val="32"/>
          <w:szCs w:val="32"/>
          <w:highlight w:val="none"/>
          <w:lang w:eastAsia="zh-CN"/>
        </w:rPr>
        <w:t>局</w:t>
      </w:r>
      <w:r>
        <w:rPr>
          <w:rFonts w:hint="eastAsia" w:ascii="仿宋_GB2312" w:hAnsi="宋体" w:eastAsia="仿宋_GB2312"/>
          <w:sz w:val="32"/>
          <w:szCs w:val="32"/>
          <w:highlight w:val="none"/>
          <w:lang w:eastAsia="zh-CN"/>
        </w:rPr>
        <w:t>再按照相应审核程序提交会议审议</w:t>
      </w:r>
      <w:r>
        <w:rPr>
          <w:rFonts w:hint="eastAsia" w:ascii="仿宋_GB2312" w:eastAsia="仿宋_GB2312"/>
          <w:sz w:val="32"/>
          <w:szCs w:val="32"/>
          <w:highlight w:val="none"/>
          <w:lang w:eastAsia="zh-CN"/>
        </w:rPr>
        <w:t>；</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文化广电旅游体育</w:t>
      </w:r>
      <w:r>
        <w:rPr>
          <w:rFonts w:hint="eastAsia" w:ascii="仿宋_GB2312" w:eastAsia="仿宋_GB2312"/>
          <w:sz w:val="32"/>
          <w:szCs w:val="32"/>
          <w:highlight w:val="none"/>
          <w:lang w:eastAsia="zh-CN"/>
        </w:rPr>
        <w:t>局直接行文下达资金计划；</w:t>
      </w:r>
    </w:p>
    <w:p>
      <w:pPr>
        <w:spacing w:after="0" w:line="560" w:lineRule="exact"/>
        <w:ind w:firstLine="640" w:firstLineChars="200"/>
        <w:contextualSpacing/>
        <w:jc w:val="both"/>
        <w:outlineLvl w:val="1"/>
        <w:rPr>
          <w:rFonts w:hint="default"/>
          <w:highlight w:val="none"/>
          <w:lang w:val="en-US" w:eastAsia="zh-CN"/>
        </w:rPr>
      </w:pPr>
      <w:r>
        <w:rPr>
          <w:rFonts w:hint="eastAsia" w:ascii="仿宋_GB2312" w:hAnsi="宋体" w:eastAsia="仿宋_GB2312"/>
          <w:sz w:val="32"/>
          <w:szCs w:val="32"/>
          <w:highlight w:val="none"/>
          <w:lang w:eastAsia="zh-CN"/>
        </w:rPr>
        <w:t>（七）区财政部门及时安排资金，</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文化广电旅游体育</w:t>
      </w:r>
      <w:r>
        <w:rPr>
          <w:rFonts w:hint="eastAsia" w:ascii="仿宋_GB2312" w:eastAsia="仿宋_GB2312"/>
          <w:sz w:val="32"/>
          <w:szCs w:val="32"/>
          <w:highlight w:val="none"/>
          <w:lang w:eastAsia="zh-CN"/>
        </w:rPr>
        <w:t>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widowControl/>
        <w:adjustRightInd w:val="0"/>
        <w:snapToGrid w:val="0"/>
        <w:spacing w:line="560" w:lineRule="exact"/>
        <w:ind w:firstLine="640" w:firstLineChars="200"/>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七</w:t>
      </w:r>
      <w:r>
        <w:rPr>
          <w:rFonts w:hint="eastAsia" w:hAnsi="黑体" w:eastAsia="黑体"/>
          <w:color w:val="000000" w:themeColor="text1"/>
          <w:sz w:val="32"/>
          <w:szCs w:val="32"/>
          <w:highlight w:val="none"/>
          <w14:textFill>
            <w14:solidFill>
              <w14:schemeClr w14:val="tx1"/>
            </w14:solidFill>
          </w14:textFill>
        </w:rPr>
        <w:t>、所需材料</w:t>
      </w:r>
    </w:p>
    <w:p>
      <w:pPr>
        <w:adjustRightInd w:val="0"/>
        <w:snapToGrid w:val="0"/>
        <w:spacing w:line="560" w:lineRule="exact"/>
        <w:ind w:firstLine="656" w:firstLineChars="200"/>
        <w:rPr>
          <w:rFonts w:hint="eastAsia" w:ascii="仿宋_GB2312" w:hAnsi="宋体" w:eastAsia="仿宋_GB2312" w:cs="宋体"/>
          <w:color w:val="000000" w:themeColor="text1"/>
          <w:spacing w:val="4"/>
          <w:kern w:val="0"/>
          <w:sz w:val="32"/>
          <w:szCs w:val="32"/>
          <w:highlight w:val="none"/>
          <w14:textFill>
            <w14:solidFill>
              <w14:schemeClr w14:val="tx1"/>
            </w14:solidFill>
          </w14:textFill>
        </w:rPr>
      </w:pP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①申请类别为</w:t>
      </w:r>
      <w:r>
        <w:rPr>
          <w:rFonts w:hint="eastAsia" w:ascii="仿宋_GB2312" w:hAnsi="仿宋" w:eastAsia="仿宋_GB2312" w:cs="仿宋"/>
          <w:color w:val="000000" w:themeColor="text1"/>
          <w:sz w:val="32"/>
          <w:szCs w:val="32"/>
          <w:highlight w:val="none"/>
          <w14:textFill>
            <w14:solidFill>
              <w14:schemeClr w14:val="tx1"/>
            </w14:solidFill>
          </w14:textFill>
        </w:rPr>
        <w:t>承办政府主办的重大电竞赛事</w:t>
      </w:r>
      <w:r>
        <w:rPr>
          <w:rFonts w:hint="eastAsia" w:ascii="仿宋_GB2312" w:hAnsi="仿宋" w:eastAsia="仿宋_GB2312" w:cs="仿宋"/>
          <w:bCs/>
          <w:color w:val="000000" w:themeColor="text1"/>
          <w:sz w:val="32"/>
          <w:highlight w:val="none"/>
          <w14:textFill>
            <w14:solidFill>
              <w14:schemeClr w14:val="tx1"/>
            </w14:solidFill>
          </w14:textFill>
        </w:rPr>
        <w:t>，需</w:t>
      </w: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提供以下资料：</w:t>
      </w:r>
    </w:p>
    <w:p>
      <w:pPr>
        <w:adjustRightInd w:val="0"/>
        <w:snapToGrid w:val="0"/>
        <w:spacing w:line="560" w:lineRule="exact"/>
        <w:ind w:firstLine="656" w:firstLineChars="200"/>
        <w:rPr>
          <w:rFonts w:ascii="仿宋_GB2312" w:hAnsi="宋体" w:eastAsia="仿宋_GB2312" w:cs="宋体"/>
          <w:color w:val="000000" w:themeColor="text1"/>
          <w:spacing w:val="4"/>
          <w:kern w:val="0"/>
          <w:sz w:val="32"/>
          <w:szCs w:val="32"/>
          <w:highlight w:val="none"/>
          <w14:textFill>
            <w14:solidFill>
              <w14:schemeClr w14:val="tx1"/>
            </w14:solidFill>
          </w14:textFill>
        </w:rPr>
      </w:pP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登录“i南山企业服务综合平台”（https://www.inanshan.org.cn/）在线填写《</w:t>
      </w:r>
      <w:r>
        <w:rPr>
          <w:rFonts w:hint="eastAsia" w:ascii="仿宋_GB2312" w:hAnsi="仿宋" w:eastAsia="仿宋_GB2312" w:cs="仿宋"/>
          <w:bCs/>
          <w:color w:val="000000" w:themeColor="text1"/>
          <w:sz w:val="32"/>
          <w:highlight w:val="none"/>
          <w14:textFill>
            <w14:solidFill>
              <w14:schemeClr w14:val="tx1"/>
            </w14:solidFill>
          </w14:textFill>
        </w:rPr>
        <w:t>支持举办电竞赛事项目</w:t>
      </w: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》申请书</w:t>
      </w:r>
      <w:r>
        <w:rPr>
          <w:rFonts w:hint="eastAsia" w:ascii="仿宋_GB2312" w:hAnsi="宋体" w:eastAsia="仿宋_GB2312" w:cs="宋体"/>
          <w:color w:val="000000" w:themeColor="text1"/>
          <w:spacing w:val="4"/>
          <w:kern w:val="0"/>
          <w:sz w:val="32"/>
          <w:szCs w:val="32"/>
          <w:highlight w:val="none"/>
          <w:lang w:eastAsia="zh-CN"/>
          <w14:textFill>
            <w14:solidFill>
              <w14:schemeClr w14:val="tx1"/>
            </w14:solidFill>
          </w14:textFill>
        </w:rPr>
        <w:t>。</w:t>
      </w:r>
    </w:p>
    <w:tbl>
      <w:tblPr>
        <w:tblStyle w:val="11"/>
        <w:tblW w:w="905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4405"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附件名称</w:t>
            </w:r>
          </w:p>
        </w:tc>
        <w:tc>
          <w:tcPr>
            <w:tcW w:w="1595"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是否</w:t>
            </w:r>
          </w:p>
          <w:p>
            <w:pPr>
              <w:spacing w:line="276" w:lineRule="auto"/>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必备材料</w:t>
            </w:r>
          </w:p>
        </w:tc>
        <w:tc>
          <w:tcPr>
            <w:tcW w:w="2336"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bookmarkStart w:id="1" w:name="OLE_LINK85" w:colFirst="2" w:colLast="2"/>
            <w:bookmarkStart w:id="2" w:name="OLE_LINK86" w:colFirst="4" w:colLast="4"/>
            <w:r>
              <w:rPr>
                <w:rFonts w:hint="eastAsia" w:ascii="楷体" w:hAnsi="楷体" w:eastAsia="楷体" w:cs="楷体"/>
                <w:color w:val="000000" w:themeColor="text1"/>
                <w:sz w:val="24"/>
                <w:szCs w:val="24"/>
                <w:highlight w:val="none"/>
                <w14:textFill>
                  <w14:solidFill>
                    <w14:schemeClr w14:val="tx1"/>
                  </w14:solidFill>
                </w14:textFill>
              </w:rPr>
              <w:t>1</w:t>
            </w:r>
          </w:p>
        </w:tc>
        <w:tc>
          <w:tcPr>
            <w:tcW w:w="4405" w:type="dxa"/>
            <w:vAlign w:val="center"/>
          </w:tcPr>
          <w:p>
            <w:pPr>
              <w:jc w:val="left"/>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sz w:val="24"/>
                <w:highlight w:val="none"/>
              </w:rPr>
              <w:t>新版</w:t>
            </w:r>
            <w:r>
              <w:rPr>
                <w:rFonts w:ascii="楷体" w:hAnsi="楷体" w:eastAsia="楷体"/>
                <w:sz w:val="24"/>
                <w:highlight w:val="none"/>
              </w:rPr>
              <w:t>“</w:t>
            </w:r>
            <w:r>
              <w:rPr>
                <w:rFonts w:hint="eastAsia" w:ascii="楷体" w:hAnsi="楷体" w:eastAsia="楷体"/>
                <w:sz w:val="24"/>
                <w:highlight w:val="none"/>
              </w:rPr>
              <w:t>三证合一</w:t>
            </w:r>
            <w:r>
              <w:rPr>
                <w:rFonts w:ascii="楷体" w:hAnsi="楷体" w:eastAsia="楷体"/>
                <w:sz w:val="24"/>
                <w:highlight w:val="none"/>
              </w:rPr>
              <w:t>”</w:t>
            </w:r>
            <w:r>
              <w:rPr>
                <w:rFonts w:hint="eastAsia" w:ascii="楷体" w:hAnsi="楷体" w:eastAsia="楷体"/>
                <w:sz w:val="24"/>
                <w:highlight w:val="none"/>
              </w:rPr>
              <w:t>营业执照（事业单位提交新版“三证合一”法人证书）</w:t>
            </w:r>
          </w:p>
        </w:tc>
        <w:tc>
          <w:tcPr>
            <w:tcW w:w="1595" w:type="dxa"/>
            <w:vAlign w:val="center"/>
          </w:tcPr>
          <w:p>
            <w:pPr>
              <w:spacing w:line="276"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restart"/>
            <w:vAlign w:val="center"/>
          </w:tcPr>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p>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p>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原件彩色扫描</w:t>
            </w:r>
            <w:r>
              <w:rPr>
                <w:rFonts w:hint="eastAsia" w:ascii="楷体" w:hAnsi="楷体" w:eastAsia="楷体" w:cs="楷体"/>
                <w:bCs/>
                <w:color w:val="000000" w:themeColor="text1"/>
                <w:sz w:val="24"/>
                <w:szCs w:val="24"/>
                <w:highlight w:val="none"/>
                <w:lang w:eastAsia="zh-CN"/>
                <w14:textFill>
                  <w14:solidFill>
                    <w14:schemeClr w14:val="tx1"/>
                  </w14:solidFill>
                </w14:textFill>
              </w:rPr>
              <w:t>成</w:t>
            </w:r>
          </w:p>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PDF</w:t>
            </w:r>
            <w:r>
              <w:rPr>
                <w:rFonts w:hint="eastAsia" w:ascii="楷体" w:hAnsi="楷体" w:eastAsia="楷体" w:cs="楷体"/>
                <w:color w:val="000000" w:themeColor="text1"/>
                <w:sz w:val="24"/>
                <w:szCs w:val="24"/>
                <w:highlight w:val="none"/>
                <w:lang w:val="en-US" w:eastAsia="zh-CN"/>
                <w14:textFill>
                  <w14:solidFill>
                    <w14:schemeClr w14:val="tx1"/>
                  </w14:solidFill>
                </w14:textFill>
              </w:rPr>
              <w:t>文件</w:t>
            </w:r>
            <w:r>
              <w:rPr>
                <w:rFonts w:hint="eastAsia" w:ascii="楷体" w:hAnsi="楷体" w:eastAsia="楷体" w:cs="楷体"/>
                <w:bCs/>
                <w:color w:val="000000" w:themeColor="text1"/>
                <w:sz w:val="24"/>
                <w:szCs w:val="24"/>
                <w:highlight w:val="none"/>
                <w14:textFill>
                  <w14:solidFill>
                    <w14:schemeClr w14:val="tx1"/>
                  </w14:solidFill>
                </w14:textFill>
              </w:rPr>
              <w:t>上传</w:t>
            </w:r>
          </w:p>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p>
          <w:p>
            <w:pPr>
              <w:spacing w:line="240" w:lineRule="atLeast"/>
              <w:jc w:val="left"/>
              <w:rPr>
                <w:rFonts w:hint="eastAsia" w:ascii="楷体" w:hAnsi="楷体" w:eastAsia="楷体" w:cs="楷体"/>
                <w:bCs/>
                <w:color w:val="000000" w:themeColor="text1"/>
                <w:sz w:val="24"/>
                <w:szCs w:val="24"/>
                <w:highlight w:val="none"/>
                <w14:textFill>
                  <w14:solidFill>
                    <w14:schemeClr w14:val="tx1"/>
                  </w14:solidFill>
                </w14:textFill>
              </w:rPr>
            </w:pPr>
          </w:p>
          <w:p>
            <w:pPr>
              <w:spacing w:line="240" w:lineRule="atLeast"/>
              <w:jc w:val="left"/>
              <w:rPr>
                <w:rFonts w:hint="eastAsia"/>
                <w:highlight w:val="none"/>
              </w:rPr>
            </w:pPr>
            <w:bookmarkStart w:id="3" w:name="_GoBack"/>
            <w:bookmarkEnd w:id="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440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sz w:val="24"/>
                <w:highlight w:val="none"/>
              </w:rPr>
              <w:t>法定代表人身份证</w:t>
            </w:r>
          </w:p>
        </w:tc>
        <w:tc>
          <w:tcPr>
            <w:tcW w:w="1595"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color w:val="000000" w:themeColor="text1"/>
                <w:sz w:val="24"/>
                <w:szCs w:val="24"/>
                <w:highlight w:val="none"/>
                <w14:textFill>
                  <w14:solidFill>
                    <w14:schemeClr w14:val="tx1"/>
                  </w14:solidFill>
                </w14:textFill>
              </w:rPr>
            </w:pPr>
          </w:p>
        </w:tc>
      </w:tr>
      <w:bookmarkEnd w:id="1"/>
      <w:bookmarkEnd w:id="2"/>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440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sz w:val="24"/>
                <w:highlight w:val="none"/>
              </w:rPr>
              <w:t>税务部门提供的单位上一年度的纳税证明</w:t>
            </w:r>
          </w:p>
        </w:tc>
        <w:tc>
          <w:tcPr>
            <w:tcW w:w="1595" w:type="dxa"/>
            <w:vAlign w:val="center"/>
          </w:tcPr>
          <w:p>
            <w:pPr>
              <w:spacing w:line="24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否</w:t>
            </w:r>
          </w:p>
        </w:tc>
        <w:tc>
          <w:tcPr>
            <w:tcW w:w="2336" w:type="dxa"/>
            <w:vMerge w:val="continue"/>
            <w:vAlign w:val="center"/>
          </w:tcPr>
          <w:p>
            <w:pPr>
              <w:spacing w:line="240" w:lineRule="atLeast"/>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4405" w:type="dxa"/>
            <w:vAlign w:val="center"/>
          </w:tcPr>
          <w:p>
            <w:pPr>
              <w:spacing w:line="240" w:lineRule="atLeast"/>
              <w:ind w:left="-5" w:right="42" w:rightChars="20"/>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南山区委托行业协会</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专业机构</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企业承办重大电竞赛事的证明材料</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包括中标通知书等</w:t>
            </w:r>
          </w:p>
        </w:tc>
        <w:tc>
          <w:tcPr>
            <w:tcW w:w="1595"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trPr>
        <w:tc>
          <w:tcPr>
            <w:tcW w:w="722" w:type="dxa"/>
            <w:vAlign w:val="center"/>
          </w:tcPr>
          <w:p>
            <w:pPr>
              <w:spacing w:line="24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4405" w:type="dxa"/>
            <w:vAlign w:val="center"/>
          </w:tcPr>
          <w:p>
            <w:pPr>
              <w:spacing w:line="240" w:lineRule="atLeast"/>
              <w:ind w:right="42" w:rightChars="2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Cs/>
                <w:iCs/>
                <w:color w:val="000000" w:themeColor="text1"/>
                <w:sz w:val="24"/>
                <w:szCs w:val="24"/>
                <w:highlight w:val="none"/>
                <w14:textFill>
                  <w14:solidFill>
                    <w14:schemeClr w14:val="tx1"/>
                  </w14:solidFill>
                </w14:textFill>
              </w:rPr>
              <w:t>申请书签字盖章版</w:t>
            </w:r>
          </w:p>
        </w:tc>
        <w:tc>
          <w:tcPr>
            <w:tcW w:w="1595" w:type="dxa"/>
            <w:vAlign w:val="center"/>
          </w:tcPr>
          <w:p>
            <w:pPr>
              <w:spacing w:line="24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p>
        </w:tc>
        <w:tc>
          <w:tcPr>
            <w:tcW w:w="4405" w:type="dxa"/>
            <w:vAlign w:val="center"/>
          </w:tcPr>
          <w:p>
            <w:pPr>
              <w:spacing w:line="240" w:lineRule="atLeast"/>
              <w:ind w:right="42" w:rightChars="20"/>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bCs/>
                <w:iCs/>
                <w:color w:val="000000" w:themeColor="text1"/>
                <w:sz w:val="24"/>
                <w:szCs w:val="24"/>
                <w:highlight w:val="none"/>
                <w14:textFill>
                  <w14:solidFill>
                    <w14:schemeClr w14:val="tx1"/>
                  </w14:solidFill>
                </w14:textFill>
              </w:rPr>
              <w:t>其它附件</w:t>
            </w:r>
          </w:p>
        </w:tc>
        <w:tc>
          <w:tcPr>
            <w:tcW w:w="1595" w:type="dxa"/>
            <w:vAlign w:val="center"/>
          </w:tcPr>
          <w:p>
            <w:pPr>
              <w:spacing w:line="240" w:lineRule="atLeast"/>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否</w:t>
            </w:r>
          </w:p>
        </w:tc>
        <w:tc>
          <w:tcPr>
            <w:tcW w:w="2336" w:type="dxa"/>
            <w:vMerge w:val="continue"/>
            <w:vAlign w:val="center"/>
          </w:tcPr>
          <w:p>
            <w:pPr>
              <w:spacing w:line="240" w:lineRule="atLeast"/>
              <w:jc w:val="left"/>
              <w:rPr>
                <w:rFonts w:hint="eastAsia" w:ascii="楷体" w:hAnsi="楷体" w:eastAsia="楷体" w:cs="楷体"/>
                <w:color w:val="000000" w:themeColor="text1"/>
                <w:sz w:val="24"/>
                <w:szCs w:val="24"/>
                <w:highlight w:val="none"/>
                <w14:textFill>
                  <w14:solidFill>
                    <w14:schemeClr w14:val="tx1"/>
                  </w14:solidFill>
                </w14:textFill>
              </w:rPr>
            </w:pPr>
          </w:p>
        </w:tc>
      </w:tr>
    </w:tbl>
    <w:p>
      <w:pPr>
        <w:adjustRightInd w:val="0"/>
        <w:snapToGrid w:val="0"/>
        <w:spacing w:line="560" w:lineRule="exact"/>
        <w:ind w:firstLine="656" w:firstLineChars="200"/>
        <w:rPr>
          <w:rFonts w:ascii="仿宋_GB2312" w:hAnsi="宋体" w:eastAsia="仿宋_GB2312" w:cs="宋体"/>
          <w:color w:val="000000" w:themeColor="text1"/>
          <w:spacing w:val="4"/>
          <w:kern w:val="0"/>
          <w:sz w:val="32"/>
          <w:szCs w:val="32"/>
          <w:highlight w:val="none"/>
          <w14:textFill>
            <w14:solidFill>
              <w14:schemeClr w14:val="tx1"/>
            </w14:solidFill>
          </w14:textFill>
        </w:rPr>
      </w:pP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②申请类别为</w:t>
      </w:r>
      <w:r>
        <w:rPr>
          <w:rFonts w:hint="eastAsia" w:ascii="仿宋_GB2312" w:hAnsi="仿宋" w:eastAsia="仿宋_GB2312" w:cs="仿宋"/>
          <w:color w:val="000000" w:themeColor="text1"/>
          <w:sz w:val="32"/>
          <w:szCs w:val="32"/>
          <w:highlight w:val="none"/>
          <w14:textFill>
            <w14:solidFill>
              <w14:schemeClr w14:val="tx1"/>
            </w14:solidFill>
          </w14:textFill>
        </w:rPr>
        <w:t>举办职业电竞赛事和特色电竞赛事</w:t>
      </w:r>
      <w:r>
        <w:rPr>
          <w:rFonts w:hint="eastAsia" w:ascii="仿宋_GB2312" w:hAnsi="仿宋" w:eastAsia="仿宋_GB2312" w:cs="仿宋"/>
          <w:bCs/>
          <w:color w:val="000000" w:themeColor="text1"/>
          <w:sz w:val="32"/>
          <w:highlight w:val="none"/>
          <w14:textFill>
            <w14:solidFill>
              <w14:schemeClr w14:val="tx1"/>
            </w14:solidFill>
          </w14:textFill>
        </w:rPr>
        <w:t>，需</w:t>
      </w: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提供以下资料：</w:t>
      </w:r>
    </w:p>
    <w:p>
      <w:pPr>
        <w:adjustRightInd w:val="0"/>
        <w:snapToGrid w:val="0"/>
        <w:spacing w:line="560" w:lineRule="exact"/>
        <w:ind w:firstLine="656" w:firstLineChars="200"/>
        <w:rPr>
          <w:rFonts w:ascii="仿宋_GB2312" w:hAnsi="宋体" w:eastAsia="仿宋_GB2312" w:cs="宋体"/>
          <w:color w:val="000000" w:themeColor="text1"/>
          <w:spacing w:val="4"/>
          <w:kern w:val="0"/>
          <w:sz w:val="32"/>
          <w:szCs w:val="32"/>
          <w:highlight w:val="none"/>
          <w14:textFill>
            <w14:solidFill>
              <w14:schemeClr w14:val="tx1"/>
            </w14:solidFill>
          </w14:textFill>
        </w:rPr>
      </w:pP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登录“i南山企业服务综合平台”（https://www.inanshan.org.cn/）在线填写《</w:t>
      </w:r>
      <w:r>
        <w:rPr>
          <w:rFonts w:hint="eastAsia" w:ascii="仿宋_GB2312" w:hAnsi="仿宋" w:eastAsia="仿宋_GB2312" w:cs="仿宋"/>
          <w:bCs/>
          <w:color w:val="000000" w:themeColor="text1"/>
          <w:sz w:val="32"/>
          <w:highlight w:val="none"/>
          <w14:textFill>
            <w14:solidFill>
              <w14:schemeClr w14:val="tx1"/>
            </w14:solidFill>
          </w14:textFill>
        </w:rPr>
        <w:t>支持举办电竞赛事项目</w:t>
      </w: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》申请书。</w:t>
      </w:r>
    </w:p>
    <w:tbl>
      <w:tblPr>
        <w:tblStyle w:val="11"/>
        <w:tblW w:w="905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333"/>
        <w:gridCol w:w="1667"/>
        <w:gridCol w:w="23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序号</w:t>
            </w:r>
          </w:p>
        </w:tc>
        <w:tc>
          <w:tcPr>
            <w:tcW w:w="4333"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附件名称</w:t>
            </w:r>
          </w:p>
        </w:tc>
        <w:tc>
          <w:tcPr>
            <w:tcW w:w="1667"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是否</w:t>
            </w:r>
          </w:p>
          <w:p>
            <w:pPr>
              <w:spacing w:line="276" w:lineRule="auto"/>
              <w:jc w:val="center"/>
              <w:rPr>
                <w:rFonts w:hint="eastAsia" w:ascii="楷体" w:hAnsi="楷体" w:eastAsia="楷体" w:cs="楷体"/>
                <w:b/>
                <w:sz w:val="24"/>
                <w:szCs w:val="24"/>
                <w:highlight w:val="none"/>
              </w:rPr>
            </w:pPr>
            <w:r>
              <w:rPr>
                <w:rFonts w:hint="eastAsia" w:ascii="楷体" w:hAnsi="楷体" w:eastAsia="楷体" w:cs="楷体"/>
                <w:sz w:val="24"/>
                <w:szCs w:val="24"/>
                <w:highlight w:val="none"/>
              </w:rPr>
              <w:t>必备材料</w:t>
            </w:r>
          </w:p>
        </w:tc>
        <w:tc>
          <w:tcPr>
            <w:tcW w:w="2336"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w:t>
            </w:r>
          </w:p>
        </w:tc>
        <w:tc>
          <w:tcPr>
            <w:tcW w:w="4333" w:type="dxa"/>
            <w:vAlign w:val="center"/>
          </w:tcPr>
          <w:p>
            <w:pPr>
              <w:jc w:val="left"/>
              <w:rPr>
                <w:rFonts w:hint="eastAsia" w:ascii="楷体" w:hAnsi="楷体" w:eastAsia="楷体" w:cs="楷体"/>
                <w:bCs/>
                <w:sz w:val="24"/>
                <w:szCs w:val="24"/>
                <w:highlight w:val="none"/>
              </w:rPr>
            </w:pPr>
            <w:r>
              <w:rPr>
                <w:rFonts w:hint="eastAsia" w:ascii="楷体" w:hAnsi="楷体" w:eastAsia="楷体"/>
                <w:sz w:val="24"/>
                <w:highlight w:val="none"/>
              </w:rPr>
              <w:t>新版</w:t>
            </w:r>
            <w:r>
              <w:rPr>
                <w:rFonts w:ascii="楷体" w:hAnsi="楷体" w:eastAsia="楷体"/>
                <w:sz w:val="24"/>
                <w:highlight w:val="none"/>
              </w:rPr>
              <w:t>“</w:t>
            </w:r>
            <w:r>
              <w:rPr>
                <w:rFonts w:hint="eastAsia" w:ascii="楷体" w:hAnsi="楷体" w:eastAsia="楷体"/>
                <w:sz w:val="24"/>
                <w:highlight w:val="none"/>
              </w:rPr>
              <w:t>三证合一</w:t>
            </w:r>
            <w:r>
              <w:rPr>
                <w:rFonts w:ascii="楷体" w:hAnsi="楷体" w:eastAsia="楷体"/>
                <w:sz w:val="24"/>
                <w:highlight w:val="none"/>
              </w:rPr>
              <w:t>”</w:t>
            </w:r>
            <w:r>
              <w:rPr>
                <w:rFonts w:hint="eastAsia" w:ascii="楷体" w:hAnsi="楷体" w:eastAsia="楷体"/>
                <w:sz w:val="24"/>
                <w:highlight w:val="none"/>
              </w:rPr>
              <w:t>营业执照（事业单位提交新版“三证合一”法人证书）</w:t>
            </w:r>
          </w:p>
        </w:tc>
        <w:tc>
          <w:tcPr>
            <w:tcW w:w="1667"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restart"/>
            <w:vAlign w:val="center"/>
          </w:tcPr>
          <w:p>
            <w:pPr>
              <w:spacing w:line="276" w:lineRule="auto"/>
              <w:jc w:val="left"/>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原件彩色扫描</w:t>
            </w:r>
            <w:r>
              <w:rPr>
                <w:rFonts w:hint="eastAsia" w:ascii="楷体" w:hAnsi="楷体" w:eastAsia="楷体" w:cs="楷体"/>
                <w:bCs/>
                <w:color w:val="000000" w:themeColor="text1"/>
                <w:sz w:val="24"/>
                <w:szCs w:val="24"/>
                <w:highlight w:val="none"/>
                <w:lang w:eastAsia="zh-CN"/>
                <w14:textFill>
                  <w14:solidFill>
                    <w14:schemeClr w14:val="tx1"/>
                  </w14:solidFill>
                </w14:textFill>
              </w:rPr>
              <w:t>成</w:t>
            </w:r>
          </w:p>
          <w:p>
            <w:pPr>
              <w:spacing w:line="276" w:lineRule="auto"/>
              <w:jc w:val="left"/>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14:textFill>
                  <w14:solidFill>
                    <w14:schemeClr w14:val="tx1"/>
                  </w14:solidFill>
                </w14:textFill>
              </w:rPr>
              <w:t>PDF</w:t>
            </w:r>
            <w:r>
              <w:rPr>
                <w:rFonts w:hint="eastAsia" w:ascii="楷体" w:hAnsi="楷体" w:eastAsia="楷体" w:cs="楷体"/>
                <w:color w:val="000000" w:themeColor="text1"/>
                <w:sz w:val="24"/>
                <w:szCs w:val="24"/>
                <w:highlight w:val="none"/>
                <w:lang w:val="en-US" w:eastAsia="zh-CN"/>
                <w14:textFill>
                  <w14:solidFill>
                    <w14:schemeClr w14:val="tx1"/>
                  </w14:solidFill>
                </w14:textFill>
              </w:rPr>
              <w:t>文件</w:t>
            </w:r>
            <w:r>
              <w:rPr>
                <w:rFonts w:hint="eastAsia" w:ascii="楷体" w:hAnsi="楷体" w:eastAsia="楷体" w:cs="楷体"/>
                <w:bCs/>
                <w:color w:val="000000" w:themeColor="text1"/>
                <w:sz w:val="24"/>
                <w:szCs w:val="24"/>
                <w:highlight w:val="none"/>
                <w14:textFill>
                  <w14:solidFill>
                    <w14:schemeClr w14:val="tx1"/>
                  </w14:solidFill>
                </w14:textFill>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w:t>
            </w:r>
          </w:p>
        </w:tc>
        <w:tc>
          <w:tcPr>
            <w:tcW w:w="4333" w:type="dxa"/>
            <w:vAlign w:val="center"/>
          </w:tcPr>
          <w:p>
            <w:pPr>
              <w:jc w:val="left"/>
              <w:rPr>
                <w:rFonts w:hint="eastAsia" w:ascii="楷体" w:hAnsi="楷体" w:eastAsia="楷体" w:cs="楷体"/>
                <w:sz w:val="24"/>
                <w:szCs w:val="24"/>
                <w:highlight w:val="none"/>
              </w:rPr>
            </w:pPr>
            <w:r>
              <w:rPr>
                <w:rFonts w:hint="eastAsia" w:ascii="楷体" w:hAnsi="楷体" w:eastAsia="楷体"/>
                <w:sz w:val="24"/>
                <w:highlight w:val="none"/>
              </w:rPr>
              <w:t>法定代表人身份证</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w:t>
            </w:r>
          </w:p>
        </w:tc>
        <w:tc>
          <w:tcPr>
            <w:tcW w:w="4333" w:type="dxa"/>
            <w:vAlign w:val="center"/>
          </w:tcPr>
          <w:p>
            <w:pPr>
              <w:jc w:val="left"/>
              <w:rPr>
                <w:rFonts w:hint="eastAsia" w:ascii="楷体" w:hAnsi="楷体" w:eastAsia="楷体" w:cs="楷体"/>
                <w:sz w:val="24"/>
                <w:szCs w:val="24"/>
                <w:highlight w:val="none"/>
              </w:rPr>
            </w:pPr>
            <w:r>
              <w:rPr>
                <w:rFonts w:hint="eastAsia" w:ascii="楷体" w:hAnsi="楷体" w:eastAsia="楷体"/>
                <w:sz w:val="24"/>
                <w:highlight w:val="none"/>
              </w:rPr>
              <w:t>税务部门提供的单位上一年度的纳税证明</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4</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获得游戏版权官方授权</w:t>
            </w:r>
            <w:r>
              <w:rPr>
                <w:rFonts w:hint="eastAsia" w:ascii="楷体" w:hAnsi="楷体" w:eastAsia="楷体" w:cs="楷体"/>
                <w:color w:val="000000" w:themeColor="text1"/>
                <w:sz w:val="24"/>
                <w:szCs w:val="24"/>
                <w:highlight w:val="none"/>
                <w:lang w:val="en-US" w:eastAsia="zh-CN"/>
                <w14:textFill>
                  <w14:solidFill>
                    <w14:schemeClr w14:val="tx1"/>
                  </w14:solidFill>
                </w14:textFill>
              </w:rPr>
              <w:t>的授权书</w:t>
            </w:r>
          </w:p>
        </w:tc>
        <w:tc>
          <w:tcPr>
            <w:tcW w:w="1667" w:type="dxa"/>
            <w:vAlign w:val="center"/>
          </w:tcPr>
          <w:p>
            <w:pPr>
              <w:spacing w:line="276"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是</w:t>
            </w:r>
          </w:p>
        </w:tc>
        <w:tc>
          <w:tcPr>
            <w:tcW w:w="2336" w:type="dxa"/>
            <w:vMerge w:val="continue"/>
            <w:vAlign w:val="center"/>
          </w:tcPr>
          <w:p>
            <w:pPr>
              <w:spacing w:line="276" w:lineRule="auto"/>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比赛为</w:t>
            </w:r>
            <w:r>
              <w:rPr>
                <w:rFonts w:hint="eastAsia" w:ascii="楷体" w:hAnsi="楷体" w:eastAsia="楷体" w:cs="楷体"/>
                <w:color w:val="000000" w:themeColor="text1"/>
                <w:sz w:val="24"/>
                <w:szCs w:val="24"/>
                <w:highlight w:val="none"/>
                <w14:textFill>
                  <w14:solidFill>
                    <w14:schemeClr w14:val="tx1"/>
                  </w14:solidFill>
                </w14:textFill>
              </w:rPr>
              <w:t>国际性赛事</w:t>
            </w:r>
            <w:r>
              <w:rPr>
                <w:rFonts w:hint="eastAsia" w:ascii="楷体" w:hAnsi="楷体" w:eastAsia="楷体" w:cs="楷体"/>
                <w:color w:val="000000" w:themeColor="text1"/>
                <w:sz w:val="24"/>
                <w:szCs w:val="24"/>
                <w:highlight w:val="none"/>
                <w:lang w:val="en-US" w:eastAsia="zh-CN"/>
                <w14:textFill>
                  <w14:solidFill>
                    <w14:schemeClr w14:val="tx1"/>
                  </w14:solidFill>
                </w14:textFill>
              </w:rPr>
              <w:t>且</w:t>
            </w:r>
            <w:r>
              <w:rPr>
                <w:rFonts w:hint="eastAsia" w:ascii="楷体" w:hAnsi="楷体" w:eastAsia="楷体" w:cs="楷体"/>
                <w:color w:val="000000" w:themeColor="text1"/>
                <w:sz w:val="24"/>
                <w:szCs w:val="24"/>
                <w:highlight w:val="none"/>
                <w14:textFill>
                  <w14:solidFill>
                    <w14:schemeClr w14:val="tx1"/>
                  </w14:solidFill>
                </w14:textFill>
              </w:rPr>
              <w:t>总奖金不少于100万美元或</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00万元人民币的证明材料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若申请国际赛事补贴则为是</w:t>
            </w:r>
          </w:p>
          <w:p>
            <w:pPr>
              <w:spacing w:line="276" w:lineRule="auto"/>
              <w:jc w:val="center"/>
              <w:rPr>
                <w:rFonts w:hint="eastAsia" w:ascii="楷体" w:hAnsi="楷体" w:eastAsia="楷体" w:cs="楷体"/>
                <w:sz w:val="24"/>
                <w:szCs w:val="24"/>
                <w:highlight w:val="none"/>
                <w:lang w:val="en-US" w:eastAsia="zh-CN"/>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其他为否</w:t>
            </w:r>
          </w:p>
        </w:tc>
        <w:tc>
          <w:tcPr>
            <w:tcW w:w="2336" w:type="dxa"/>
            <w:vMerge w:val="continue"/>
            <w:vAlign w:val="center"/>
          </w:tcPr>
          <w:p>
            <w:pPr>
              <w:spacing w:line="276" w:lineRule="auto"/>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比赛为</w:t>
            </w:r>
            <w:r>
              <w:rPr>
                <w:rFonts w:hint="eastAsia" w:ascii="楷体" w:hAnsi="楷体" w:eastAsia="楷体" w:cs="楷体"/>
                <w:color w:val="000000" w:themeColor="text1"/>
                <w:sz w:val="24"/>
                <w:szCs w:val="24"/>
                <w:highlight w:val="none"/>
                <w14:textFill>
                  <w14:solidFill>
                    <w14:schemeClr w14:val="tx1"/>
                  </w14:solidFill>
                </w14:textFill>
              </w:rPr>
              <w:t>全国性赛事</w:t>
            </w:r>
            <w:r>
              <w:rPr>
                <w:rFonts w:hint="eastAsia" w:ascii="楷体" w:hAnsi="楷体" w:eastAsia="楷体" w:cs="楷体"/>
                <w:color w:val="000000" w:themeColor="text1"/>
                <w:sz w:val="24"/>
                <w:szCs w:val="24"/>
                <w:highlight w:val="none"/>
                <w:lang w:val="en-US" w:eastAsia="zh-CN"/>
                <w14:textFill>
                  <w14:solidFill>
                    <w14:schemeClr w14:val="tx1"/>
                  </w14:solidFill>
                </w14:textFill>
              </w:rPr>
              <w:t>且</w:t>
            </w:r>
            <w:r>
              <w:rPr>
                <w:rFonts w:hint="eastAsia" w:ascii="楷体" w:hAnsi="楷体" w:eastAsia="楷体" w:cs="楷体"/>
                <w:color w:val="000000" w:themeColor="text1"/>
                <w:sz w:val="24"/>
                <w:szCs w:val="24"/>
                <w:highlight w:val="none"/>
                <w14:textFill>
                  <w14:solidFill>
                    <w14:schemeClr w14:val="tx1"/>
                  </w14:solidFill>
                </w14:textFill>
              </w:rPr>
              <w:t>总奖金不少于300万元人民币的证明材料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若申请国内赛事补贴则为是</w:t>
            </w:r>
          </w:p>
          <w:p>
            <w:pPr>
              <w:spacing w:line="276" w:lineRule="auto"/>
              <w:jc w:val="center"/>
              <w:rPr>
                <w:rFonts w:hint="eastAsia" w:ascii="楷体" w:hAnsi="楷体" w:eastAsia="楷体" w:cs="楷体"/>
                <w:sz w:val="24"/>
                <w:szCs w:val="24"/>
                <w:highlight w:val="none"/>
                <w:lang w:val="en-US" w:eastAsia="zh-CN"/>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其他为否</w:t>
            </w:r>
          </w:p>
        </w:tc>
        <w:tc>
          <w:tcPr>
            <w:tcW w:w="2336" w:type="dxa"/>
            <w:vMerge w:val="continue"/>
            <w:vAlign w:val="center"/>
          </w:tcPr>
          <w:p>
            <w:pPr>
              <w:spacing w:line="276" w:lineRule="auto"/>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比赛有10</w:t>
            </w:r>
            <w:r>
              <w:rPr>
                <w:rFonts w:hint="eastAsia" w:ascii="楷体" w:hAnsi="楷体" w:eastAsia="楷体" w:cs="楷体"/>
                <w:color w:val="000000" w:themeColor="text1"/>
                <w:sz w:val="24"/>
                <w:szCs w:val="24"/>
                <w:highlight w:val="none"/>
                <w14:textFill>
                  <w14:solidFill>
                    <w14:schemeClr w14:val="tx1"/>
                  </w14:solidFill>
                </w14:textFill>
              </w:rPr>
              <w:t>个以上高校</w:t>
            </w:r>
            <w:r>
              <w:rPr>
                <w:rFonts w:hint="eastAsia" w:ascii="楷体" w:hAnsi="楷体" w:eastAsia="楷体" w:cs="楷体"/>
                <w:color w:val="000000" w:themeColor="text1"/>
                <w:sz w:val="24"/>
                <w:szCs w:val="24"/>
                <w:highlight w:val="none"/>
                <w:lang w:val="en-US" w:eastAsia="zh-CN"/>
                <w14:textFill>
                  <w14:solidFill>
                    <w14:schemeClr w14:val="tx1"/>
                  </w14:solidFill>
                </w14:textFill>
              </w:rPr>
              <w:t>参与</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2000名以上选手</w:t>
            </w:r>
            <w:r>
              <w:rPr>
                <w:rFonts w:hint="eastAsia" w:ascii="楷体" w:hAnsi="楷体" w:eastAsia="楷体" w:cs="楷体"/>
                <w:color w:val="000000" w:themeColor="text1"/>
                <w:sz w:val="24"/>
                <w:szCs w:val="24"/>
                <w:highlight w:val="none"/>
                <w14:textFill>
                  <w14:solidFill>
                    <w14:schemeClr w14:val="tx1"/>
                  </w14:solidFill>
                </w14:textFill>
              </w:rPr>
              <w:t>参加的证明材料；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若申请高校电竞赛补贴则为是，</w:t>
            </w:r>
            <w:r>
              <w:rPr>
                <w:rFonts w:hint="eastAsia" w:ascii="楷体" w:hAnsi="楷体" w:eastAsia="楷体" w:cs="楷体"/>
                <w:color w:val="000000" w:themeColor="text1"/>
                <w:sz w:val="24"/>
                <w:szCs w:val="24"/>
                <w:highlight w:val="none"/>
                <w:lang w:val="en-US" w:eastAsia="zh-CN"/>
                <w14:textFill>
                  <w14:solidFill>
                    <w14:schemeClr w14:val="tx1"/>
                  </w14:solidFill>
                </w14:textFill>
              </w:rPr>
              <w:t>其他为否</w:t>
            </w:r>
          </w:p>
        </w:tc>
        <w:tc>
          <w:tcPr>
            <w:tcW w:w="2336" w:type="dxa"/>
            <w:vMerge w:val="continue"/>
            <w:vAlign w:val="center"/>
          </w:tcPr>
          <w:p>
            <w:pPr>
              <w:spacing w:line="276" w:lineRule="auto"/>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8</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比赛有含</w:t>
            </w:r>
            <w:r>
              <w:rPr>
                <w:rFonts w:hint="eastAsia" w:ascii="楷体" w:hAnsi="楷体" w:eastAsia="楷体" w:cs="楷体"/>
                <w:color w:val="000000" w:themeColor="text1"/>
                <w:sz w:val="24"/>
                <w:szCs w:val="24"/>
                <w:highlight w:val="none"/>
                <w14:textFill>
                  <w14:solidFill>
                    <w14:schemeClr w14:val="tx1"/>
                  </w14:solidFill>
                </w14:textFill>
              </w:rPr>
              <w:t>深圳在内的不少于10个地市级以上城市代表队、总选手人数不少于1000人参加比赛或</w:t>
            </w:r>
            <w:r>
              <w:rPr>
                <w:rFonts w:hint="eastAsia" w:ascii="楷体" w:hAnsi="楷体" w:eastAsia="楷体" w:cs="楷体"/>
                <w:color w:val="000000" w:themeColor="text1"/>
                <w:sz w:val="24"/>
                <w:szCs w:val="24"/>
                <w:highlight w:val="none"/>
                <w:lang w:val="en-US" w:eastAsia="zh-CN"/>
                <w14:textFill>
                  <w14:solidFill>
                    <w14:schemeClr w14:val="tx1"/>
                  </w14:solidFill>
                </w14:textFill>
              </w:rPr>
              <w:t>有</w:t>
            </w:r>
            <w:r>
              <w:rPr>
                <w:rFonts w:hint="eastAsia" w:ascii="楷体" w:hAnsi="楷体" w:eastAsia="楷体" w:cs="楷体"/>
                <w:color w:val="000000" w:themeColor="text1"/>
                <w:sz w:val="24"/>
                <w:szCs w:val="24"/>
                <w:highlight w:val="none"/>
                <w14:textFill>
                  <w14:solidFill>
                    <w14:schemeClr w14:val="tx1"/>
                  </w14:solidFill>
                </w14:textFill>
              </w:rPr>
              <w:t>含香港、澳门和深圳在内的地级市不少于5个以上城市代表队、总选手人数不少于500人参加的</w:t>
            </w:r>
            <w:r>
              <w:rPr>
                <w:rFonts w:hint="eastAsia" w:ascii="楷体" w:hAnsi="楷体" w:eastAsia="楷体" w:cs="楷体"/>
                <w:color w:val="000000" w:themeColor="text1"/>
                <w:sz w:val="24"/>
                <w:szCs w:val="24"/>
                <w:highlight w:val="none"/>
                <w:lang w:val="en-US" w:eastAsia="zh-CN"/>
                <w14:textFill>
                  <w14:solidFill>
                    <w14:schemeClr w14:val="tx1"/>
                  </w14:solidFill>
                </w14:textFill>
              </w:rPr>
              <w:t>证明材料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若申请区域电竞赛补贴则为是，</w:t>
            </w:r>
            <w:r>
              <w:rPr>
                <w:rFonts w:hint="eastAsia" w:ascii="楷体" w:hAnsi="楷体" w:eastAsia="楷体" w:cs="楷体"/>
                <w:color w:val="000000" w:themeColor="text1"/>
                <w:sz w:val="24"/>
                <w:szCs w:val="24"/>
                <w:highlight w:val="none"/>
                <w:lang w:val="en-US" w:eastAsia="zh-CN"/>
                <w14:textFill>
                  <w14:solidFill>
                    <w14:schemeClr w14:val="tx1"/>
                  </w14:solidFill>
                </w14:textFill>
              </w:rPr>
              <w:t>其他为否</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比赛有200名以上选手</w:t>
            </w:r>
            <w:r>
              <w:rPr>
                <w:rFonts w:hint="eastAsia" w:ascii="楷体" w:hAnsi="楷体" w:eastAsia="楷体" w:cs="楷体"/>
                <w:color w:val="000000" w:themeColor="text1"/>
                <w:sz w:val="24"/>
                <w:szCs w:val="24"/>
                <w:highlight w:val="none"/>
                <w14:textFill>
                  <w14:solidFill>
                    <w14:schemeClr w14:val="tx1"/>
                  </w14:solidFill>
                </w14:textFill>
              </w:rPr>
              <w:t>参加的证明材料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若申请机器人格斗、虚拟无人机等电子体育赛事则为是，其他为否</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电竞俱乐部主场落户材料</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若申请俱乐部主场赛补贴则为是，</w:t>
            </w:r>
            <w:r>
              <w:rPr>
                <w:rFonts w:hint="eastAsia" w:ascii="楷体" w:hAnsi="楷体" w:eastAsia="楷体" w:cs="楷体"/>
                <w:color w:val="000000" w:themeColor="text1"/>
                <w:sz w:val="24"/>
                <w:szCs w:val="24"/>
                <w:highlight w:val="none"/>
                <w:lang w:val="en-US" w:eastAsia="zh-CN"/>
                <w14:textFill>
                  <w14:solidFill>
                    <w14:schemeClr w14:val="tx1"/>
                  </w14:solidFill>
                </w14:textFill>
              </w:rPr>
              <w:t>其他为否</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val="en-US" w:eastAsia="zh-CN"/>
              </w:rPr>
              <w:t>1</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实际发生费用相关合同及发票、付款凭证</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val="en-US" w:eastAsia="zh-CN"/>
              </w:rPr>
              <w:t>2</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比赛</w:t>
            </w:r>
            <w:r>
              <w:rPr>
                <w:rFonts w:hint="eastAsia" w:ascii="楷体" w:hAnsi="楷体" w:eastAsia="楷体" w:cs="楷体"/>
                <w:color w:val="000000" w:themeColor="text1"/>
                <w:sz w:val="24"/>
                <w:szCs w:val="24"/>
                <w:highlight w:val="none"/>
                <w14:textFill>
                  <w14:solidFill>
                    <w14:schemeClr w14:val="tx1"/>
                  </w14:solidFill>
                </w14:textFill>
              </w:rPr>
              <w:t>举办场地照片</w:t>
            </w:r>
          </w:p>
        </w:tc>
        <w:tc>
          <w:tcPr>
            <w:tcW w:w="1667" w:type="dxa"/>
            <w:vAlign w:val="center"/>
          </w:tcPr>
          <w:p>
            <w:pPr>
              <w:spacing w:line="24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val="en-US" w:eastAsia="zh-CN"/>
              </w:rPr>
              <w:t>3</w:t>
            </w:r>
          </w:p>
        </w:tc>
        <w:tc>
          <w:tcPr>
            <w:tcW w:w="4333" w:type="dxa"/>
            <w:vAlign w:val="center"/>
          </w:tcPr>
          <w:p>
            <w:pPr>
              <w:spacing w:line="240" w:lineRule="atLeast"/>
              <w:ind w:left="-5" w:right="42" w:rightChars="2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在南山区文化广电旅游体育局备案的证明材料</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4</w:t>
            </w:r>
          </w:p>
        </w:tc>
        <w:tc>
          <w:tcPr>
            <w:tcW w:w="4333" w:type="dxa"/>
            <w:vAlign w:val="center"/>
          </w:tcPr>
          <w:p>
            <w:pPr>
              <w:spacing w:line="240" w:lineRule="atLeast"/>
              <w:ind w:right="42" w:rightChars="20"/>
              <w:jc w:val="center"/>
              <w:rPr>
                <w:rFonts w:hint="eastAsia" w:ascii="楷体" w:hAnsi="楷体" w:eastAsia="楷体" w:cs="楷体"/>
                <w:sz w:val="24"/>
                <w:szCs w:val="24"/>
                <w:highlight w:val="none"/>
              </w:rPr>
            </w:pPr>
            <w:r>
              <w:rPr>
                <w:rFonts w:hint="eastAsia" w:ascii="楷体" w:hAnsi="楷体" w:eastAsia="楷体" w:cs="楷体"/>
                <w:bCs/>
                <w:iCs/>
                <w:color w:val="000000" w:themeColor="text1"/>
                <w:sz w:val="24"/>
                <w:szCs w:val="24"/>
                <w:highlight w:val="none"/>
                <w14:textFill>
                  <w14:solidFill>
                    <w14:schemeClr w14:val="tx1"/>
                  </w14:solidFill>
                </w14:textFill>
              </w:rPr>
              <w:t>申请书签字盖章版</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是</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pPr>
              <w:spacing w:line="240" w:lineRule="atLeast"/>
              <w:jc w:val="center"/>
              <w:rPr>
                <w:rFonts w:hint="default" w:ascii="楷体" w:hAnsi="楷体" w:eastAsia="楷体" w:cs="楷体"/>
                <w:sz w:val="24"/>
                <w:szCs w:val="24"/>
                <w:highlight w:val="none"/>
                <w:lang w:val="en-US" w:eastAsia="zh-CN"/>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p>
        </w:tc>
        <w:tc>
          <w:tcPr>
            <w:tcW w:w="4333" w:type="dxa"/>
            <w:vAlign w:val="center"/>
          </w:tcPr>
          <w:p>
            <w:pPr>
              <w:spacing w:line="240" w:lineRule="atLeast"/>
              <w:ind w:right="42" w:rightChars="20"/>
              <w:jc w:val="center"/>
              <w:rPr>
                <w:rFonts w:hint="eastAsia" w:ascii="楷体" w:hAnsi="楷体" w:eastAsia="楷体" w:cs="楷体"/>
                <w:bCs/>
                <w:iCs/>
                <w:sz w:val="24"/>
                <w:szCs w:val="24"/>
                <w:highlight w:val="none"/>
              </w:rPr>
            </w:pPr>
            <w:r>
              <w:rPr>
                <w:rFonts w:hint="eastAsia" w:ascii="楷体" w:hAnsi="楷体" w:eastAsia="楷体" w:cs="楷体"/>
                <w:bCs/>
                <w:iCs/>
                <w:color w:val="000000" w:themeColor="text1"/>
                <w:sz w:val="24"/>
                <w:szCs w:val="24"/>
                <w:highlight w:val="none"/>
                <w14:textFill>
                  <w14:solidFill>
                    <w14:schemeClr w14:val="tx1"/>
                  </w14:solidFill>
                </w14:textFill>
              </w:rPr>
              <w:t>其它附件</w:t>
            </w:r>
          </w:p>
        </w:tc>
        <w:tc>
          <w:tcPr>
            <w:tcW w:w="1667" w:type="dxa"/>
            <w:vAlign w:val="center"/>
          </w:tcPr>
          <w:p>
            <w:pPr>
              <w:spacing w:line="240" w:lineRule="atLeast"/>
              <w:jc w:val="center"/>
              <w:rPr>
                <w:rFonts w:hint="eastAsia" w:ascii="楷体" w:hAnsi="楷体" w:eastAsia="楷体" w:cs="楷体"/>
                <w:sz w:val="24"/>
                <w:szCs w:val="24"/>
                <w:highlight w:val="none"/>
              </w:rPr>
            </w:pPr>
            <w:r>
              <w:rPr>
                <w:rFonts w:hint="eastAsia" w:ascii="楷体" w:hAnsi="楷体" w:eastAsia="楷体" w:cs="楷体"/>
                <w:color w:val="000000" w:themeColor="text1"/>
                <w:sz w:val="24"/>
                <w:szCs w:val="24"/>
                <w:highlight w:val="none"/>
                <w14:textFill>
                  <w14:solidFill>
                    <w14:schemeClr w14:val="tx1"/>
                  </w14:solidFill>
                </w14:textFill>
              </w:rPr>
              <w:t>否</w:t>
            </w:r>
          </w:p>
        </w:tc>
        <w:tc>
          <w:tcPr>
            <w:tcW w:w="2336" w:type="dxa"/>
            <w:vMerge w:val="continue"/>
            <w:vAlign w:val="center"/>
          </w:tcPr>
          <w:p>
            <w:pPr>
              <w:spacing w:line="240" w:lineRule="atLeast"/>
              <w:jc w:val="left"/>
              <w:rPr>
                <w:rFonts w:hint="eastAsia" w:ascii="楷体" w:hAnsi="楷体" w:eastAsia="楷体" w:cs="楷体"/>
                <w:sz w:val="24"/>
                <w:szCs w:val="24"/>
                <w:highlight w:val="none"/>
              </w:rPr>
            </w:pPr>
          </w:p>
        </w:tc>
      </w:tr>
    </w:tbl>
    <w:p>
      <w:pPr>
        <w:pStyle w:val="9"/>
        <w:shd w:val="clear" w:color="auto" w:fill="FFFFFF"/>
        <w:adjustRightInd w:val="0"/>
        <w:snapToGrid w:val="0"/>
        <w:spacing w:before="0" w:beforeAutospacing="0" w:after="0" w:afterAutospacing="0" w:line="560" w:lineRule="exact"/>
        <w:ind w:firstLine="645"/>
        <w:jc w:val="both"/>
        <w:rPr>
          <w:rFonts w:ascii="Times New Roman" w:hAnsi="Times New Roman" w:eastAsia="黑体" w:cs="Times New Roman"/>
          <w:color w:val="000000" w:themeColor="text1"/>
          <w:kern w:val="2"/>
          <w:sz w:val="32"/>
          <w:szCs w:val="32"/>
          <w:highlight w:val="none"/>
          <w14:textFill>
            <w14:solidFill>
              <w14:schemeClr w14:val="tx1"/>
            </w14:solidFill>
          </w14:textFill>
        </w:rPr>
      </w:pPr>
      <w:r>
        <w:rPr>
          <w:rFonts w:hint="eastAsia" w:ascii="Times New Roman" w:hAnsi="黑体" w:eastAsia="黑体" w:cs="Times New Roman"/>
          <w:color w:val="000000" w:themeColor="text1"/>
          <w:kern w:val="2"/>
          <w:sz w:val="32"/>
          <w:szCs w:val="32"/>
          <w:highlight w:val="none"/>
          <w:lang w:val="en-US" w:eastAsia="zh-CN"/>
          <w14:textFill>
            <w14:solidFill>
              <w14:schemeClr w14:val="tx1"/>
            </w14:solidFill>
          </w14:textFill>
        </w:rPr>
        <w:t>八</w:t>
      </w:r>
      <w:r>
        <w:rPr>
          <w:rFonts w:hint="eastAsia" w:ascii="Times New Roman" w:hAnsi="黑体" w:eastAsia="黑体" w:cs="Times New Roman"/>
          <w:color w:val="000000" w:themeColor="text1"/>
          <w:kern w:val="2"/>
          <w:sz w:val="32"/>
          <w:szCs w:val="32"/>
          <w:highlight w:val="none"/>
          <w14:textFill>
            <w14:solidFill>
              <w14:schemeClr w14:val="tx1"/>
            </w14:solidFill>
          </w14:textFill>
        </w:rPr>
        <w:t>、其他事项</w:t>
      </w:r>
    </w:p>
    <w:p>
      <w:pPr>
        <w:pStyle w:val="9"/>
        <w:shd w:val="clear" w:color="auto" w:fill="FFFFFF"/>
        <w:adjustRightInd w:val="0"/>
        <w:snapToGrid w:val="0"/>
        <w:spacing w:before="0" w:beforeAutospacing="0" w:after="0" w:afterAutospacing="0" w:line="560" w:lineRule="exact"/>
        <w:ind w:firstLine="645"/>
        <w:jc w:val="both"/>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kern w:val="2"/>
          <w:sz w:val="32"/>
          <w:szCs w:val="32"/>
          <w:highlight w:val="none"/>
          <w14:textFill>
            <w14:solidFill>
              <w14:schemeClr w14:val="tx1"/>
            </w14:solidFill>
          </w14:textFill>
        </w:rPr>
        <w:t>申请本项目资助的企业应保证其申报材料的完整性、</w:t>
      </w:r>
      <w:r>
        <w:rPr>
          <w:rFonts w:hint="eastAsia" w:ascii="仿宋_GB2312" w:hAnsi="仿宋" w:eastAsia="仿宋_GB2312" w:cs="Times New Roman"/>
          <w:color w:val="000000" w:themeColor="text1"/>
          <w:sz w:val="32"/>
          <w:szCs w:val="32"/>
          <w:highlight w:val="none"/>
          <w14:textFill>
            <w14:solidFill>
              <w14:schemeClr w14:val="tx1"/>
            </w14:solidFill>
          </w14:textFill>
        </w:rPr>
        <w:t>真实性、</w:t>
      </w:r>
      <w:r>
        <w:rPr>
          <w:rFonts w:hint="eastAsia" w:ascii="仿宋_GB2312" w:hAnsi="仿宋" w:eastAsia="仿宋_GB2312" w:cs="Times New Roman"/>
          <w:color w:val="000000" w:themeColor="text1"/>
          <w:kern w:val="2"/>
          <w:sz w:val="32"/>
          <w:szCs w:val="32"/>
          <w:highlight w:val="none"/>
          <w14:textFill>
            <w14:solidFill>
              <w14:schemeClr w14:val="tx1"/>
            </w14:solidFill>
          </w14:textFill>
        </w:rPr>
        <w:t>准确性</w:t>
      </w:r>
      <w:r>
        <w:rPr>
          <w:rFonts w:hint="eastAsia" w:ascii="仿宋_GB2312" w:hAnsi="仿宋" w:eastAsia="仿宋_GB2312" w:cs="Times New Roman"/>
          <w:color w:val="000000" w:themeColor="text1"/>
          <w:sz w:val="32"/>
          <w:szCs w:val="32"/>
          <w:highlight w:val="none"/>
          <w14:textFill>
            <w14:solidFill>
              <w14:schemeClr w14:val="tx1"/>
            </w14:solidFill>
          </w14:textFill>
        </w:rPr>
        <w:t>及合法性</w:t>
      </w:r>
      <w:r>
        <w:rPr>
          <w:rFonts w:hint="eastAsia" w:ascii="仿宋_GB2312" w:hAnsi="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仿宋" w:eastAsia="仿宋_GB2312" w:cs="Times New Roman"/>
          <w:color w:val="000000" w:themeColor="text1"/>
          <w:sz w:val="32"/>
          <w:szCs w:val="32"/>
          <w:highlight w:val="none"/>
          <w14:textFill>
            <w14:solidFill>
              <w14:schemeClr w14:val="tx1"/>
            </w14:solidFill>
          </w14:textFill>
        </w:rPr>
        <w:t>并承担所提交的项目申报材料的相关法律责任，如有虚假或侵权等行为，该项目申请无效，如事后发现存在以上行为，本资金主管部门将保留依法追究其法律责任的权利。</w:t>
      </w:r>
    </w:p>
    <w:p>
      <w:pPr>
        <w:pStyle w:val="9"/>
        <w:shd w:val="clear" w:color="auto" w:fill="FFFFFF"/>
        <w:adjustRightInd w:val="0"/>
        <w:snapToGrid w:val="0"/>
        <w:spacing w:before="0" w:beforeAutospacing="0" w:after="0" w:afterAutospacing="0" w:line="560" w:lineRule="exact"/>
        <w:ind w:firstLine="640" w:firstLineChars="200"/>
        <w:jc w:val="both"/>
        <w:rPr>
          <w:rFonts w:ascii="Times New Roman" w:hAnsi="Times New Roman" w:eastAsia="黑体" w:cs="Times New Roman"/>
          <w:color w:val="000000" w:themeColor="text1"/>
          <w:kern w:val="2"/>
          <w:sz w:val="32"/>
          <w:szCs w:val="32"/>
          <w:highlight w:val="none"/>
          <w14:textFill>
            <w14:solidFill>
              <w14:schemeClr w14:val="tx1"/>
            </w14:solidFill>
          </w14:textFill>
        </w:rPr>
      </w:pPr>
      <w:r>
        <w:rPr>
          <w:rFonts w:hint="eastAsia" w:ascii="Times New Roman" w:hAnsi="黑体" w:eastAsia="黑体" w:cs="Times New Roman"/>
          <w:color w:val="000000" w:themeColor="text1"/>
          <w:kern w:val="2"/>
          <w:sz w:val="32"/>
          <w:szCs w:val="32"/>
          <w:highlight w:val="none"/>
          <w:lang w:val="en-US" w:eastAsia="zh-CN"/>
          <w14:textFill>
            <w14:solidFill>
              <w14:schemeClr w14:val="tx1"/>
            </w14:solidFill>
          </w14:textFill>
        </w:rPr>
        <w:t>九</w:t>
      </w:r>
      <w:r>
        <w:rPr>
          <w:rFonts w:hint="eastAsia" w:ascii="Times New Roman" w:hAnsi="黑体" w:eastAsia="黑体" w:cs="Times New Roman"/>
          <w:color w:val="000000" w:themeColor="text1"/>
          <w:kern w:val="2"/>
          <w:sz w:val="32"/>
          <w:szCs w:val="32"/>
          <w:highlight w:val="none"/>
          <w14:textFill>
            <w14:solidFill>
              <w14:schemeClr w14:val="tx1"/>
            </w14:solidFill>
          </w14:textFill>
        </w:rPr>
        <w:t>、附则</w:t>
      </w:r>
    </w:p>
    <w:p>
      <w:pPr>
        <w:pStyle w:val="9"/>
        <w:shd w:val="clear" w:color="auto" w:fill="FFFFFF"/>
        <w:adjustRightInd w:val="0"/>
        <w:snapToGrid w:val="0"/>
        <w:spacing w:before="0" w:beforeAutospacing="0" w:after="0" w:afterAutospacing="0" w:line="560" w:lineRule="exact"/>
        <w:ind w:firstLine="640" w:firstLineChars="200"/>
        <w:jc w:val="both"/>
        <w:rPr>
          <w:rFonts w:ascii="仿宋_GB2312" w:eastAsia="仿宋_GB2312"/>
          <w:color w:val="000000" w:themeColor="text1"/>
          <w:highlight w:val="none"/>
          <w14:textFill>
            <w14:solidFill>
              <w14:schemeClr w14:val="tx1"/>
            </w14:solidFill>
          </w14:textFill>
        </w:rPr>
      </w:pPr>
      <w:r>
        <w:rPr>
          <w:rFonts w:hint="eastAsia" w:ascii="仿宋_GB2312" w:hAnsi="仿宋" w:eastAsia="仿宋_GB2312" w:cs="Times New Roman"/>
          <w:color w:val="000000" w:themeColor="text1"/>
          <w:kern w:val="2"/>
          <w:sz w:val="32"/>
          <w:szCs w:val="32"/>
          <w:highlight w:val="none"/>
          <w14:textFill>
            <w14:solidFill>
              <w14:schemeClr w14:val="tx1"/>
            </w14:solidFill>
          </w14:textFill>
        </w:rPr>
        <w:t>本规程由南山区文化广电旅游体育局负责解释，自发布之日起施行。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09751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iOTU0NTc3ZTM1ZTYyZGY3YzYzMmZkODc4MjgyZWMifQ=="/>
  </w:docVars>
  <w:rsids>
    <w:rsidRoot w:val="1E9B000F"/>
    <w:rsid w:val="00007F6F"/>
    <w:rsid w:val="00024D3C"/>
    <w:rsid w:val="00031E90"/>
    <w:rsid w:val="000965F4"/>
    <w:rsid w:val="000B0273"/>
    <w:rsid w:val="00115BCC"/>
    <w:rsid w:val="001421E0"/>
    <w:rsid w:val="00143A36"/>
    <w:rsid w:val="0015404E"/>
    <w:rsid w:val="001B0C22"/>
    <w:rsid w:val="0020003E"/>
    <w:rsid w:val="0026218E"/>
    <w:rsid w:val="003513BD"/>
    <w:rsid w:val="003E1EB4"/>
    <w:rsid w:val="003F33E9"/>
    <w:rsid w:val="0040362C"/>
    <w:rsid w:val="004329C4"/>
    <w:rsid w:val="00434791"/>
    <w:rsid w:val="00456C09"/>
    <w:rsid w:val="00475747"/>
    <w:rsid w:val="00484F4E"/>
    <w:rsid w:val="004B052D"/>
    <w:rsid w:val="004C22D8"/>
    <w:rsid w:val="00595A1F"/>
    <w:rsid w:val="005A622A"/>
    <w:rsid w:val="005C1AD0"/>
    <w:rsid w:val="005D529D"/>
    <w:rsid w:val="006255F8"/>
    <w:rsid w:val="00651611"/>
    <w:rsid w:val="00676E19"/>
    <w:rsid w:val="00705AFF"/>
    <w:rsid w:val="007067EE"/>
    <w:rsid w:val="00765457"/>
    <w:rsid w:val="007A67CC"/>
    <w:rsid w:val="007D0365"/>
    <w:rsid w:val="007E2AAA"/>
    <w:rsid w:val="007E59AE"/>
    <w:rsid w:val="008058F8"/>
    <w:rsid w:val="00886129"/>
    <w:rsid w:val="00896F3C"/>
    <w:rsid w:val="008A06B8"/>
    <w:rsid w:val="008B0EB5"/>
    <w:rsid w:val="008C75B3"/>
    <w:rsid w:val="008D3C58"/>
    <w:rsid w:val="00920AE3"/>
    <w:rsid w:val="00966922"/>
    <w:rsid w:val="009944AF"/>
    <w:rsid w:val="009B0D2F"/>
    <w:rsid w:val="009B3AE0"/>
    <w:rsid w:val="009E2DAA"/>
    <w:rsid w:val="009F4297"/>
    <w:rsid w:val="00A33646"/>
    <w:rsid w:val="00A65275"/>
    <w:rsid w:val="00A82793"/>
    <w:rsid w:val="00AD6040"/>
    <w:rsid w:val="00AE260C"/>
    <w:rsid w:val="00B101C1"/>
    <w:rsid w:val="00B17BF3"/>
    <w:rsid w:val="00B77C53"/>
    <w:rsid w:val="00B803E6"/>
    <w:rsid w:val="00B91CA9"/>
    <w:rsid w:val="00BA5F30"/>
    <w:rsid w:val="00BC06DD"/>
    <w:rsid w:val="00BD6E4F"/>
    <w:rsid w:val="00BE7C30"/>
    <w:rsid w:val="00C97D94"/>
    <w:rsid w:val="00CA4770"/>
    <w:rsid w:val="00CD6F9A"/>
    <w:rsid w:val="00CE00CC"/>
    <w:rsid w:val="00CE1FF7"/>
    <w:rsid w:val="00CE6F5B"/>
    <w:rsid w:val="00D13618"/>
    <w:rsid w:val="00D818FD"/>
    <w:rsid w:val="00DF10BB"/>
    <w:rsid w:val="00E040F9"/>
    <w:rsid w:val="00E102DA"/>
    <w:rsid w:val="00E1265B"/>
    <w:rsid w:val="00E23039"/>
    <w:rsid w:val="00E4544B"/>
    <w:rsid w:val="00EA5699"/>
    <w:rsid w:val="00EC4977"/>
    <w:rsid w:val="00F0380B"/>
    <w:rsid w:val="00F07B9B"/>
    <w:rsid w:val="00F07CA9"/>
    <w:rsid w:val="00F2135A"/>
    <w:rsid w:val="00F254EF"/>
    <w:rsid w:val="00F2602B"/>
    <w:rsid w:val="00F3450B"/>
    <w:rsid w:val="00F85813"/>
    <w:rsid w:val="00F95C5E"/>
    <w:rsid w:val="00FB6C39"/>
    <w:rsid w:val="00FD76D6"/>
    <w:rsid w:val="024E06A7"/>
    <w:rsid w:val="0381433E"/>
    <w:rsid w:val="07414C7E"/>
    <w:rsid w:val="095C7285"/>
    <w:rsid w:val="0A5B0FE9"/>
    <w:rsid w:val="0F5657D4"/>
    <w:rsid w:val="0F970CAC"/>
    <w:rsid w:val="104D08F5"/>
    <w:rsid w:val="10572E1C"/>
    <w:rsid w:val="10914778"/>
    <w:rsid w:val="119C505E"/>
    <w:rsid w:val="168B0344"/>
    <w:rsid w:val="17341286"/>
    <w:rsid w:val="1B650303"/>
    <w:rsid w:val="1C9D4474"/>
    <w:rsid w:val="1DE65B7D"/>
    <w:rsid w:val="1E395720"/>
    <w:rsid w:val="1E9B000F"/>
    <w:rsid w:val="1EE349E1"/>
    <w:rsid w:val="1F701E6B"/>
    <w:rsid w:val="1FAD4DE8"/>
    <w:rsid w:val="1FE8393C"/>
    <w:rsid w:val="21D26611"/>
    <w:rsid w:val="22A03ECE"/>
    <w:rsid w:val="25442DA4"/>
    <w:rsid w:val="268838F2"/>
    <w:rsid w:val="27341108"/>
    <w:rsid w:val="279B588D"/>
    <w:rsid w:val="2A0E4549"/>
    <w:rsid w:val="2ABE797D"/>
    <w:rsid w:val="2CB93B54"/>
    <w:rsid w:val="2D1C3032"/>
    <w:rsid w:val="2D2D342B"/>
    <w:rsid w:val="2D4D13D7"/>
    <w:rsid w:val="2E0C1292"/>
    <w:rsid w:val="2E6B7739"/>
    <w:rsid w:val="3106646D"/>
    <w:rsid w:val="359F1AE5"/>
    <w:rsid w:val="365F39E8"/>
    <w:rsid w:val="37B104F6"/>
    <w:rsid w:val="38F36362"/>
    <w:rsid w:val="3A322081"/>
    <w:rsid w:val="3C9A0A26"/>
    <w:rsid w:val="3D2008B6"/>
    <w:rsid w:val="3DBA0E43"/>
    <w:rsid w:val="3E9962A9"/>
    <w:rsid w:val="3EB43064"/>
    <w:rsid w:val="3FFD6D8A"/>
    <w:rsid w:val="410E52C5"/>
    <w:rsid w:val="42D91274"/>
    <w:rsid w:val="431D4C7D"/>
    <w:rsid w:val="43252FDE"/>
    <w:rsid w:val="432C2634"/>
    <w:rsid w:val="43306312"/>
    <w:rsid w:val="463F7CE5"/>
    <w:rsid w:val="46DC3AA0"/>
    <w:rsid w:val="489D2DBB"/>
    <w:rsid w:val="492055D3"/>
    <w:rsid w:val="49A40981"/>
    <w:rsid w:val="49BE66BD"/>
    <w:rsid w:val="4A6807A1"/>
    <w:rsid w:val="4B1D648B"/>
    <w:rsid w:val="4B706145"/>
    <w:rsid w:val="4DB13E66"/>
    <w:rsid w:val="4DBC0187"/>
    <w:rsid w:val="4E92280E"/>
    <w:rsid w:val="51422751"/>
    <w:rsid w:val="550F4A91"/>
    <w:rsid w:val="55905B88"/>
    <w:rsid w:val="562D687E"/>
    <w:rsid w:val="56B440F1"/>
    <w:rsid w:val="5AC10649"/>
    <w:rsid w:val="5B150ED7"/>
    <w:rsid w:val="5C8D0087"/>
    <w:rsid w:val="5CD110EF"/>
    <w:rsid w:val="5DB22A0D"/>
    <w:rsid w:val="5FB8487A"/>
    <w:rsid w:val="60EA0710"/>
    <w:rsid w:val="61C6117D"/>
    <w:rsid w:val="63894210"/>
    <w:rsid w:val="64561B9C"/>
    <w:rsid w:val="65CE2733"/>
    <w:rsid w:val="65E816C2"/>
    <w:rsid w:val="682008BB"/>
    <w:rsid w:val="69024E95"/>
    <w:rsid w:val="6A7B0C2A"/>
    <w:rsid w:val="6D3414FD"/>
    <w:rsid w:val="738369EE"/>
    <w:rsid w:val="758F53A8"/>
    <w:rsid w:val="77425CD3"/>
    <w:rsid w:val="77AA0DE3"/>
    <w:rsid w:val="7A7B45E1"/>
    <w:rsid w:val="7C8A1257"/>
    <w:rsid w:val="7D9C7CC2"/>
    <w:rsid w:val="7DDE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jc w:val="center"/>
      <w:outlineLvl w:val="0"/>
    </w:pPr>
    <w:rPr>
      <w:rFonts w:eastAsia="黑体"/>
      <w:bCs/>
      <w:kern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4"/>
    <w:next w:val="1"/>
    <w:autoRedefine/>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styleId="4">
    <w:name w:val="annotation text"/>
    <w:basedOn w:val="1"/>
    <w:link w:val="18"/>
    <w:autoRedefine/>
    <w:qFormat/>
    <w:uiPriority w:val="0"/>
    <w:pPr>
      <w:jc w:val="left"/>
    </w:pPr>
  </w:style>
  <w:style w:type="paragraph" w:styleId="5">
    <w:name w:val="Body Text"/>
    <w:basedOn w:val="1"/>
    <w:autoRedefine/>
    <w:qFormat/>
    <w:uiPriority w:val="0"/>
    <w:pPr>
      <w:jc w:val="center"/>
    </w:pPr>
    <w:rPr>
      <w:rFonts w:eastAsia="华文中宋"/>
      <w:sz w:val="44"/>
    </w:rPr>
  </w:style>
  <w:style w:type="paragraph" w:styleId="6">
    <w:name w:val="Body Text Indent"/>
    <w:basedOn w:val="1"/>
    <w:autoRedefine/>
    <w:qFormat/>
    <w:uiPriority w:val="0"/>
    <w:pPr>
      <w:adjustRightInd w:val="0"/>
      <w:snapToGrid w:val="0"/>
      <w:spacing w:line="300" w:lineRule="auto"/>
      <w:ind w:firstLine="720" w:firstLineChars="225"/>
    </w:pPr>
    <w:rPr>
      <w:rFonts w:ascii="仿宋_GB2312" w:eastAsia="仿宋_GB2312"/>
      <w:color w:val="000000"/>
      <w:sz w:val="32"/>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19"/>
    <w:autoRedefine/>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character" w:customStyle="1" w:styleId="15">
    <w:name w:val="font51"/>
    <w:basedOn w:val="13"/>
    <w:autoRedefine/>
    <w:qFormat/>
    <w:uiPriority w:val="0"/>
    <w:rPr>
      <w:rFonts w:hint="eastAsia" w:ascii="宋体" w:hAnsi="宋体" w:eastAsia="宋体" w:cs="宋体"/>
      <w:color w:val="000000"/>
      <w:sz w:val="24"/>
      <w:szCs w:val="24"/>
      <w:u w:val="none"/>
    </w:rPr>
  </w:style>
  <w:style w:type="character" w:customStyle="1" w:styleId="16">
    <w:name w:val="页眉 字符"/>
    <w:basedOn w:val="13"/>
    <w:link w:val="8"/>
    <w:autoRedefine/>
    <w:qFormat/>
    <w:uiPriority w:val="0"/>
    <w:rPr>
      <w:kern w:val="2"/>
      <w:sz w:val="18"/>
      <w:szCs w:val="18"/>
    </w:rPr>
  </w:style>
  <w:style w:type="paragraph" w:customStyle="1" w:styleId="17">
    <w:name w:val="列出段落1"/>
    <w:basedOn w:val="1"/>
    <w:autoRedefine/>
    <w:qFormat/>
    <w:uiPriority w:val="34"/>
    <w:pPr>
      <w:ind w:firstLine="420" w:firstLineChars="200"/>
    </w:pPr>
    <w:rPr>
      <w:rFonts w:ascii="Calibri" w:hAnsi="Calibri" w:cs="宋体"/>
    </w:rPr>
  </w:style>
  <w:style w:type="character" w:customStyle="1" w:styleId="18">
    <w:name w:val="批注文字 字符"/>
    <w:basedOn w:val="13"/>
    <w:link w:val="4"/>
    <w:autoRedefine/>
    <w:qFormat/>
    <w:uiPriority w:val="0"/>
    <w:rPr>
      <w:kern w:val="2"/>
      <w:sz w:val="21"/>
      <w:szCs w:val="24"/>
    </w:rPr>
  </w:style>
  <w:style w:type="character" w:customStyle="1" w:styleId="19">
    <w:name w:val="批注主题 字符"/>
    <w:basedOn w:val="18"/>
    <w:link w:val="10"/>
    <w:autoRedefine/>
    <w:qFormat/>
    <w:uiPriority w:val="0"/>
    <w:rPr>
      <w:b/>
      <w:bCs/>
      <w:kern w:val="2"/>
      <w:sz w:val="21"/>
      <w:szCs w:val="24"/>
    </w:rPr>
  </w:style>
  <w:style w:type="character" w:customStyle="1" w:styleId="20">
    <w:name w:val="页脚 字符"/>
    <w:basedOn w:val="13"/>
    <w:link w:val="7"/>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3078</Words>
  <Characters>3250</Characters>
  <Lines>20</Lines>
  <Paragraphs>5</Paragraphs>
  <TotalTime>7</TotalTime>
  <ScaleCrop>false</ScaleCrop>
  <LinksUpToDate>false</LinksUpToDate>
  <CharactersWithSpaces>3251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2022-07-23T02:39:00Z</dcterms:created>
  <dc:creator>王榕</dc:creator>
  <cp:lastModifiedBy>hjx</cp:lastModifiedBy>
  <cp:lastPrinted>2024-07-10T00:54:00Z</cp:lastPrinted>
  <dcterms:modified xsi:type="dcterms:W3CDTF">2024-08-01T03:08:38Z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AC069A648FF7451DAD7D99FB60DA189C</vt:lpwstr>
  </property>
</Properties>
</file>