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黑体" w:hAnsi="黑体" w:eastAsia="黑体" w:cs="黑体"/>
          <w:b/>
          <w:bCs w:val="0"/>
          <w:kern w:val="0"/>
          <w:sz w:val="32"/>
          <w:szCs w:val="32"/>
          <w:shd w:val="clear" w:color="auto" w:fill="FFFFFF"/>
          <w:lang w:val="en-US" w:eastAsia="zh-CN" w:bidi="ar-SA"/>
        </w:rPr>
      </w:pPr>
      <w:r>
        <w:rPr>
          <w:rFonts w:hint="eastAsia" w:ascii="黑体" w:hAnsi="黑体" w:eastAsia="黑体" w:cs="黑体"/>
          <w:b/>
          <w:bCs w:val="0"/>
          <w:kern w:val="0"/>
          <w:sz w:val="32"/>
          <w:szCs w:val="32"/>
          <w:shd w:val="clear" w:color="auto" w:fill="FFFFFF"/>
          <w:lang w:val="en-US" w:eastAsia="zh-CN" w:bidi="ar-SA"/>
        </w:rPr>
        <w:t>附件1</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default" w:ascii="方正小标宋简体" w:hAnsi="方正小标宋简体" w:eastAsia="方正小标宋简体" w:cs="方正小标宋简体"/>
          <w:b w:val="0"/>
          <w:bCs/>
          <w:kern w:val="0"/>
          <w:sz w:val="44"/>
          <w:szCs w:val="44"/>
          <w:shd w:val="clear" w:color="auto"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center"/>
        <w:textAlignment w:val="auto"/>
        <w:rPr>
          <w:rFonts w:ascii="华文仿宋" w:hAnsi="华文仿宋" w:eastAsia="华文仿宋" w:cs="华文仿宋"/>
          <w:kern w:val="0"/>
          <w:sz w:val="32"/>
          <w:szCs w:val="32"/>
          <w:lang w:val="en-US" w:eastAsia="zh-CN" w:bidi="ar-SA"/>
        </w:rPr>
      </w:pPr>
      <w:r>
        <w:rPr>
          <w:rFonts w:hint="eastAsia" w:ascii="方正小标宋简体" w:hAnsi="方正小标宋简体" w:eastAsia="方正小标宋简体" w:cs="方正小标宋简体"/>
          <w:b w:val="0"/>
          <w:bCs/>
          <w:kern w:val="0"/>
          <w:sz w:val="44"/>
          <w:szCs w:val="44"/>
          <w:shd w:val="clear" w:color="auto" w:fill="FFFFFF"/>
          <w:lang w:val="en-US" w:eastAsia="zh-CN" w:bidi="ar-SA"/>
        </w:rPr>
        <w:t>技术先进型服务业务认定范围（试行）</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firstLine="640" w:firstLineChars="200"/>
        <w:jc w:val="both"/>
        <w:textAlignment w:val="auto"/>
        <w:rPr>
          <w:rFonts w:hint="eastAsia" w:ascii="黑体" w:hAnsi="黑体" w:eastAsia="黑体" w:cs="黑体"/>
          <w:b w:val="0"/>
          <w:bCs/>
          <w:kern w:val="0"/>
          <w:sz w:val="32"/>
          <w:szCs w:val="32"/>
          <w:shd w:val="clear" w:color="auto"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firstLine="640" w:firstLineChars="200"/>
        <w:jc w:val="both"/>
        <w:textAlignment w:val="auto"/>
        <w:rPr>
          <w:rFonts w:hint="eastAsia" w:ascii="黑体" w:hAnsi="黑体" w:eastAsia="黑体" w:cs="黑体"/>
          <w:bCs/>
          <w:kern w:val="0"/>
          <w:sz w:val="32"/>
          <w:szCs w:val="32"/>
          <w:lang w:val="en-US" w:eastAsia="zh-CN" w:bidi="ar-SA"/>
        </w:rPr>
      </w:pPr>
      <w:r>
        <w:rPr>
          <w:rFonts w:hint="eastAsia" w:ascii="黑体" w:hAnsi="黑体" w:eastAsia="黑体" w:cs="黑体"/>
          <w:b w:val="0"/>
          <w:bCs/>
          <w:kern w:val="0"/>
          <w:sz w:val="32"/>
          <w:szCs w:val="32"/>
          <w:shd w:val="clear" w:color="auto" w:fill="FFFFFF"/>
          <w:lang w:val="en-US" w:eastAsia="zh-CN" w:bidi="ar-SA"/>
        </w:rPr>
        <w:t>一、信息技术外包服务（ITO）</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firstLine="640" w:firstLineChars="200"/>
        <w:jc w:val="both"/>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shd w:val="clear" w:color="auto" w:fill="FFFFFF"/>
          <w:lang w:val="en-US" w:eastAsia="zh-CN" w:bidi="ar-SA"/>
        </w:rPr>
        <w:t>（一）软件研发及外包</w:t>
      </w:r>
    </w:p>
    <w:tbl>
      <w:tblPr>
        <w:tblStyle w:val="4"/>
        <w:tblW w:w="4999" w:type="pct"/>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375"/>
        <w:gridCol w:w="59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Header/>
        </w:trPr>
        <w:tc>
          <w:tcPr>
            <w:tcW w:w="23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59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软件研发及开发服务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用于金融、政府、教育、制造业、零售、服务、能源、物流、交通、媒体、电信、公共事业和医疗卫生等部门和企业，为用户的运营／生产／供应链／客户关系／人力资源和财务管理、计算机辅助设计／工程等业务进行软件开发，包括定制软件开发，嵌入式软件、套装软件开发，系统软件开发、软件测试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软件技术服务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软件咨询、维护、培训、测试等技术性服务。</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ascii="CESI楷体-GB2312" w:hAnsi="CESI楷体-GB2312" w:eastAsia="CESI楷体-GB2312" w:cs="CESI楷体-GB2312"/>
          <w:kern w:val="0"/>
          <w:sz w:val="32"/>
          <w:szCs w:val="32"/>
          <w:shd w:val="clear" w:color="auto" w:fill="FFFFFF"/>
          <w:lang w:val="en-US" w:eastAsia="zh-CN" w:bidi="ar-SA"/>
        </w:rPr>
      </w:pPr>
      <w:r>
        <w:rPr>
          <w:rFonts w:hint="eastAsia" w:ascii="华文仿宋" w:hAnsi="华文仿宋" w:eastAsia="华文仿宋" w:cs="华文仿宋"/>
          <w:kern w:val="0"/>
          <w:sz w:val="32"/>
          <w:szCs w:val="32"/>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（二）信息技术研发服务外包</w:t>
      </w:r>
    </w:p>
    <w:tbl>
      <w:tblPr>
        <w:tblStyle w:val="4"/>
        <w:tblW w:w="4999" w:type="pct"/>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375"/>
        <w:gridCol w:w="59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Header/>
        </w:trPr>
        <w:tc>
          <w:tcPr>
            <w:tcW w:w="23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59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集成电路和电子电路设计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集成电路和电子电路产品设计以及相关技术支持服务等。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测试平台</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为软件、集成电路和电子电路的开发运用提供测试平台。</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楷体_GB2312" w:hAnsi="楷体_GB2312" w:eastAsia="楷体_GB2312" w:cs="楷体_GB2312"/>
          <w:kern w:val="0"/>
          <w:sz w:val="32"/>
          <w:szCs w:val="32"/>
          <w:shd w:val="clear" w:color="auto" w:fill="FFFFFF"/>
          <w:lang w:val="en-US" w:eastAsia="zh-CN" w:bidi="ar-SA"/>
        </w:rPr>
      </w:pPr>
      <w:r>
        <w:rPr>
          <w:rFonts w:hint="eastAsia" w:ascii="华文仿宋" w:hAnsi="华文仿宋" w:eastAsia="华文仿宋" w:cs="华文仿宋"/>
          <w:kern w:val="0"/>
          <w:sz w:val="32"/>
          <w:szCs w:val="32"/>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（三）信息系统运营维护外包</w:t>
      </w:r>
    </w:p>
    <w:tbl>
      <w:tblPr>
        <w:tblStyle w:val="4"/>
        <w:tblW w:w="4999" w:type="pct"/>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375"/>
        <w:gridCol w:w="59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Header/>
        </w:trPr>
        <w:tc>
          <w:tcPr>
            <w:tcW w:w="237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59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信息系统运营和维护服务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客户内部信息系统集成、网络管理、桌面管理与维护服务；信息工程、地理信息系统、远程维护等信息系统应用服务。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基础信息技术服务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基础信息技术管理平台整合、IT基础设施管理、数据中心、托管中心、安全服务、通讯服务等基础信息技术服务。</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ascii="方正黑体_GBK" w:hAnsi="方正黑体_GBK" w:eastAsia="方正黑体_GBK" w:cs="方正黑体_GBK"/>
          <w:b w:val="0"/>
          <w:bCs/>
          <w:kern w:val="0"/>
          <w:sz w:val="32"/>
          <w:szCs w:val="32"/>
          <w:shd w:val="clear" w:color="auto" w:fill="FFFFFF"/>
          <w:lang w:val="en-US" w:eastAsia="zh-CN" w:bidi="ar-SA"/>
        </w:rPr>
      </w:pPr>
      <w:r>
        <w:rPr>
          <w:rFonts w:hint="eastAsia" w:ascii="华文仿宋" w:hAnsi="华文仿宋" w:eastAsia="华文仿宋" w:cs="华文仿宋"/>
          <w:kern w:val="0"/>
          <w:sz w:val="32"/>
          <w:szCs w:val="32"/>
          <w:shd w:val="clear" w:color="auto" w:fill="FFFFFF"/>
          <w:lang w:val="en-US" w:eastAsia="zh-CN" w:bidi="ar-SA"/>
        </w:rPr>
        <w:t>　</w:t>
      </w:r>
      <w:r>
        <w:rPr>
          <w:rFonts w:hint="eastAsia" w:ascii="华文仿宋" w:hAnsi="华文仿宋" w:eastAsia="华文仿宋" w:cs="华文仿宋"/>
          <w:b/>
          <w:kern w:val="0"/>
          <w:sz w:val="32"/>
          <w:szCs w:val="32"/>
          <w:shd w:val="clear" w:color="auto" w:fill="FFFFFF"/>
          <w:lang w:val="en-US" w:eastAsia="zh-CN" w:bidi="ar-SA"/>
        </w:rPr>
        <w:t>　</w:t>
      </w:r>
      <w:r>
        <w:rPr>
          <w:rFonts w:hint="eastAsia" w:ascii="黑体" w:hAnsi="黑体" w:eastAsia="黑体" w:cs="黑体"/>
          <w:b w:val="0"/>
          <w:bCs/>
          <w:kern w:val="0"/>
          <w:sz w:val="32"/>
          <w:szCs w:val="32"/>
          <w:shd w:val="clear" w:color="auto" w:fill="FFFFFF"/>
          <w:lang w:val="en-US" w:eastAsia="zh-CN" w:bidi="ar-SA"/>
        </w:rPr>
        <w:t>二、技术性业务流程外包服务（BPO）</w:t>
      </w:r>
    </w:p>
    <w:tbl>
      <w:tblPr>
        <w:tblStyle w:val="4"/>
        <w:tblW w:w="4999" w:type="pct"/>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2375"/>
        <w:gridCol w:w="5945"/>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rPr>
          <w:tblHeader/>
        </w:trPr>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企业业务流程设计服务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为客户企业提供内部管理、业务运作等流程设计服务。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企业内部管理服务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为客户企业提供后台管理、人力资源管理、财务、审计与税务管理、金融支付服务、医疗数据及其他内部管理业务的数据分析、数据挖掘、数据管理、数据使用的服务；承接客户专业数据处理、分析和整合服务。</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企业运营服务</w:t>
            </w: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p>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客户企业提供技术研发服务、为企业经营、销售、产品售后服务提供的应用客户分析、数据库管理等服务。主要包括金融服务业务、政务与教育业务、制造业务和生命科学、零售和批发与运输业务、卫生保健业务、通讯与公共事业业务、呼叫中心、电子商务平台等。</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1427"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企业供应链管理服务</w:t>
            </w:r>
          </w:p>
        </w:tc>
        <w:tc>
          <w:tcPr>
            <w:tcW w:w="3572" w:type="pc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为客户企业提供采购、物流的整体方案设计及数据库服务。</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华文仿宋" w:hAnsi="华文仿宋" w:eastAsia="华文仿宋" w:cs="华文仿宋"/>
          <w:kern w:val="0"/>
          <w:sz w:val="32"/>
          <w:szCs w:val="32"/>
          <w:shd w:val="clear" w:color="auto" w:fill="FFFFFF"/>
          <w:lang w:val="en-US" w:eastAsia="zh-CN" w:bidi="ar-SA"/>
        </w:rPr>
      </w:pPr>
      <w:r>
        <w:rPr>
          <w:rFonts w:hint="eastAsia" w:ascii="华文仿宋" w:hAnsi="华文仿宋" w:eastAsia="华文仿宋" w:cs="华文仿宋"/>
          <w:kern w:val="0"/>
          <w:sz w:val="32"/>
          <w:szCs w:val="32"/>
          <w:shd w:val="clear" w:color="auto" w:fill="FFFFFF"/>
          <w:lang w:val="en-US" w:eastAsia="zh-CN" w:bidi="ar-SA"/>
        </w:rPr>
        <w:t>　　</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华文仿宋" w:hAnsi="华文仿宋" w:eastAsia="华文仿宋" w:cs="华文仿宋"/>
          <w:kern w:val="0"/>
          <w:sz w:val="32"/>
          <w:szCs w:val="32"/>
          <w:shd w:val="clear" w:color="auto"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华文仿宋" w:hAnsi="华文仿宋" w:eastAsia="华文仿宋" w:cs="华文仿宋"/>
          <w:kern w:val="0"/>
          <w:sz w:val="32"/>
          <w:szCs w:val="32"/>
          <w:shd w:val="clear" w:color="auto" w:fill="FFFFFF"/>
          <w:lang w:val="en-US" w:eastAsia="zh-CN" w:bidi="ar-SA"/>
        </w:rPr>
      </w:pP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firstLine="640" w:firstLineChars="200"/>
        <w:jc w:val="both"/>
        <w:textAlignment w:val="auto"/>
        <w:rPr>
          <w:rFonts w:ascii="方正黑体_GBK" w:hAnsi="方正黑体_GBK" w:eastAsia="方正黑体_GBK" w:cs="方正黑体_GBK"/>
          <w:b w:val="0"/>
          <w:bCs/>
          <w:kern w:val="0"/>
          <w:sz w:val="32"/>
          <w:szCs w:val="32"/>
          <w:shd w:val="clear" w:color="auto" w:fill="FFFFFF"/>
          <w:lang w:val="en-US" w:eastAsia="zh-CN" w:bidi="ar-SA"/>
        </w:rPr>
      </w:pPr>
      <w:r>
        <w:rPr>
          <w:rFonts w:hint="eastAsia" w:ascii="黑体" w:hAnsi="黑体" w:eastAsia="黑体" w:cs="黑体"/>
          <w:b w:val="0"/>
          <w:bCs/>
          <w:kern w:val="0"/>
          <w:sz w:val="32"/>
          <w:szCs w:val="32"/>
          <w:shd w:val="clear" w:color="auto" w:fill="FFFFFF"/>
          <w:lang w:val="en-US" w:eastAsia="zh-CN" w:bidi="ar-SA"/>
        </w:rPr>
        <w:t>三、技术性知识流程外包服务（KPO）</w:t>
      </w:r>
    </w:p>
    <w:tbl>
      <w:tblPr>
        <w:tblStyle w:val="4"/>
        <w:tblW w:w="0" w:type="auto"/>
        <w:tblInd w:w="-7"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FFFFFF"/>
        <w:tblLayout w:type="autofit"/>
        <w:tblCellMar>
          <w:top w:w="0" w:type="dxa"/>
          <w:left w:w="0" w:type="dxa"/>
          <w:bottom w:w="0" w:type="dxa"/>
          <w:right w:w="0" w:type="dxa"/>
        </w:tblCellMar>
      </w:tblPr>
      <w:tblGrid>
        <w:gridCol w:w="8321"/>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blHeader/>
        </w:trPr>
        <w:tc>
          <w:tcPr>
            <w:tcW w:w="0" w:type="auto"/>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w:t>
            </w:r>
            <w:r>
              <w:rPr>
                <w:rFonts w:hint="eastAsia" w:ascii="仿宋_GB2312" w:hAnsi="仿宋_GB2312" w:eastAsia="仿宋_GB2312" w:cs="仿宋_GB2312"/>
                <w:b/>
                <w:kern w:val="0"/>
                <w:sz w:val="32"/>
                <w:szCs w:val="32"/>
                <w:lang w:val="en-US" w:eastAsia="zh-CN" w:bidi="ar-SA"/>
              </w:rPr>
              <w:t>适用范围</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both"/>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　　知识产权研究、医药和生物技术研发和测试、产品技术研发、工业设计、分析学和数据挖掘、动漫及网游设计研发、教育课件研发、工程设计等领域。</w:t>
            </w:r>
          </w:p>
        </w:tc>
      </w:tr>
    </w:tbl>
    <w:p>
      <w:pPr>
        <w:keepNext w:val="0"/>
        <w:keepLines w:val="0"/>
        <w:pageBreakBefore w:val="0"/>
        <w:widowControl/>
        <w:numPr>
          <w:ilvl w:val="0"/>
          <w:numId w:val="1"/>
        </w:numPr>
        <w:shd w:val="clear" w:color="auto" w:fill="FFFFFF"/>
        <w:kinsoku/>
        <w:overflowPunct/>
        <w:topLinePunct w:val="0"/>
        <w:autoSpaceDE/>
        <w:autoSpaceDN/>
        <w:bidi w:val="0"/>
        <w:adjustRightInd/>
        <w:snapToGrid/>
        <w:spacing w:before="0" w:beforeAutospacing="0" w:after="0" w:afterAutospacing="0" w:line="550" w:lineRule="exact"/>
        <w:ind w:left="0" w:leftChars="0" w:firstLine="624" w:firstLineChars="0"/>
        <w:jc w:val="left"/>
        <w:textAlignment w:val="auto"/>
        <w:rPr>
          <w:rFonts w:hint="eastAsia" w:ascii="黑体" w:hAnsi="黑体" w:eastAsia="黑体" w:cs="黑体"/>
          <w:b w:val="0"/>
          <w:bCs/>
          <w:kern w:val="0"/>
          <w:sz w:val="32"/>
          <w:szCs w:val="32"/>
          <w:shd w:val="clear" w:color="auto" w:fill="FFFFFF"/>
          <w:lang w:val="en-US" w:eastAsia="zh-CN" w:bidi="ar-SA"/>
        </w:rPr>
      </w:pPr>
      <w:r>
        <w:rPr>
          <w:rFonts w:hint="eastAsia" w:ascii="黑体" w:hAnsi="黑体" w:eastAsia="黑体" w:cs="黑体"/>
          <w:b w:val="0"/>
          <w:bCs/>
          <w:kern w:val="0"/>
          <w:sz w:val="32"/>
          <w:szCs w:val="32"/>
          <w:shd w:val="clear" w:color="auto" w:fill="FFFFFF"/>
          <w:lang w:val="en-US" w:eastAsia="zh-CN" w:bidi="ar-SA"/>
        </w:rPr>
        <w:t>服务贸易类</w:t>
      </w:r>
    </w:p>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left"/>
        <w:textAlignment w:val="auto"/>
        <w:rPr>
          <w:rFonts w:hint="eastAsia" w:ascii="楷体_GB2312" w:hAnsi="楷体_GB2312" w:eastAsia="楷体_GB2312" w:cs="楷体_GB2312"/>
          <w:b w:val="0"/>
          <w:bCs/>
          <w:kern w:val="0"/>
          <w:sz w:val="32"/>
          <w:szCs w:val="32"/>
          <w:shd w:val="clear" w:color="auto" w:fill="FFFFFF"/>
          <w:lang w:val="en-US" w:eastAsia="zh-CN" w:bidi="ar-SA"/>
        </w:rPr>
      </w:pPr>
      <w:r>
        <w:rPr>
          <w:rFonts w:hint="eastAsia" w:ascii="楷体_GB2312" w:hAnsi="楷体_GB2312" w:eastAsia="楷体_GB2312" w:cs="楷体_GB2312"/>
          <w:b w:val="0"/>
          <w:bCs/>
          <w:kern w:val="0"/>
          <w:sz w:val="32"/>
          <w:szCs w:val="32"/>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（一）计算机和信息服务</w:t>
      </w:r>
    </w:p>
    <w:tbl>
      <w:tblPr>
        <w:tblStyle w:val="4"/>
        <w:tblW w:w="4998" w:type="pct"/>
        <w:tblInd w:w="0" w:type="dxa"/>
        <w:shd w:val="clear" w:color="auto" w:fill="FFFFFF"/>
        <w:tblLayout w:type="autofit"/>
        <w:tblCellMar>
          <w:top w:w="0" w:type="dxa"/>
          <w:left w:w="0" w:type="dxa"/>
          <w:bottom w:w="0" w:type="dxa"/>
          <w:right w:w="0" w:type="dxa"/>
        </w:tblCellMar>
      </w:tblPr>
      <w:tblGrid>
        <w:gridCol w:w="1532"/>
        <w:gridCol w:w="6911"/>
      </w:tblGrid>
      <w:tr>
        <w:tblPrEx>
          <w:shd w:val="clear" w:color="auto" w:fill="FFFFFF"/>
          <w:tblCellMar>
            <w:top w:w="0" w:type="dxa"/>
            <w:left w:w="0" w:type="dxa"/>
            <w:bottom w:w="0" w:type="dxa"/>
            <w:right w:w="0" w:type="dxa"/>
          </w:tblCellMar>
        </w:tblPrEx>
        <w:trPr>
          <w:tblHeader/>
        </w:trPr>
        <w:tc>
          <w:tcPr>
            <w:tcW w:w="1532"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default" w:ascii="CESI仿宋-GB2312" w:hAnsi="CESI仿宋-GB2312" w:eastAsia="CESI仿宋-GB2312" w:cs="CESI仿宋-GB2312"/>
                <w:kern w:val="0"/>
                <w:sz w:val="32"/>
                <w:szCs w:val="32"/>
                <w:lang w:val="en-US" w:eastAsia="zh-CN" w:bidi="ar-SA"/>
              </w:rPr>
            </w:pPr>
            <w:r>
              <w:rPr>
                <w:rFonts w:hint="eastAsia" w:ascii="华文仿宋" w:hAnsi="华文仿宋" w:eastAsia="华文仿宋" w:cs="华文仿宋"/>
                <w:b/>
                <w:kern w:val="0"/>
                <w:sz w:val="32"/>
                <w:szCs w:val="32"/>
                <w:lang w:val="en-US" w:eastAsia="zh-CN" w:bidi="ar-SA"/>
              </w:rPr>
              <w:t>类别</w:t>
            </w:r>
          </w:p>
        </w:tc>
        <w:tc>
          <w:tcPr>
            <w:tcW w:w="6912"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default" w:ascii="CESI仿宋-GB2312" w:hAnsi="CESI仿宋-GB2312" w:eastAsia="CESI仿宋-GB2312" w:cs="CESI仿宋-GB2312"/>
                <w:kern w:val="0"/>
                <w:sz w:val="32"/>
                <w:szCs w:val="32"/>
                <w:lang w:val="en-US" w:eastAsia="zh-CN" w:bidi="ar-SA"/>
              </w:rPr>
            </w:pPr>
            <w:r>
              <w:rPr>
                <w:rFonts w:hint="eastAsia" w:ascii="华文仿宋" w:hAnsi="华文仿宋" w:eastAsia="华文仿宋" w:cs="华文仿宋"/>
                <w:b/>
                <w:kern w:val="0"/>
                <w:sz w:val="32"/>
                <w:szCs w:val="32"/>
                <w:lang w:val="en-US" w:eastAsia="zh-CN" w:bidi="ar-SA"/>
              </w:rPr>
              <w:t>适用范围</w:t>
            </w:r>
          </w:p>
        </w:tc>
      </w:tr>
      <w:tr>
        <w:tblPrEx>
          <w:shd w:val="clear" w:color="auto" w:fill="FFFFFF"/>
          <w:tblCellMar>
            <w:top w:w="0" w:type="dxa"/>
            <w:left w:w="0" w:type="dxa"/>
            <w:bottom w:w="0" w:type="dxa"/>
            <w:right w:w="0" w:type="dxa"/>
          </w:tblCellMar>
        </w:tblPrEx>
        <w:tc>
          <w:tcPr>
            <w:tcW w:w="907"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default"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信息系统集成服务</w:t>
            </w:r>
          </w:p>
        </w:tc>
        <w:tc>
          <w:tcPr>
            <w:tcW w:w="4092"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default"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系统集成咨询服务；系统集成工程服务；提供硬件设备现场组装、软件安装与调试及相关运营维护支撑服务；系统运营维护服务，包括系统运行检测监控、故障定位与排除、性能管理、优化升级等。</w:t>
            </w:r>
          </w:p>
        </w:tc>
      </w:tr>
      <w:tr>
        <w:tblPrEx>
          <w:shd w:val="clear" w:color="auto" w:fill="FFFFFF"/>
          <w:tblCellMar>
            <w:top w:w="0" w:type="dxa"/>
            <w:left w:w="0" w:type="dxa"/>
            <w:bottom w:w="0" w:type="dxa"/>
            <w:right w:w="0" w:type="dxa"/>
          </w:tblCellMar>
        </w:tblPrEx>
        <w:tc>
          <w:tcPr>
            <w:tcW w:w="907"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default"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数据服务</w:t>
            </w:r>
          </w:p>
        </w:tc>
        <w:tc>
          <w:tcPr>
            <w:tcW w:w="4092"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default" w:ascii="CESI仿宋-GB2312" w:hAnsi="CESI仿宋-GB2312" w:eastAsia="CESI仿宋-GB2312" w:cs="CESI仿宋-GB2312"/>
                <w:kern w:val="0"/>
                <w:sz w:val="32"/>
                <w:szCs w:val="32"/>
                <w:lang w:val="en-US" w:eastAsia="zh-CN" w:bidi="ar-SA"/>
              </w:rPr>
            </w:pPr>
            <w:r>
              <w:rPr>
                <w:rFonts w:hint="eastAsia" w:ascii="CESI仿宋-GB2312" w:hAnsi="CESI仿宋-GB2312" w:eastAsia="CESI仿宋-GB2312" w:cs="CESI仿宋-GB2312"/>
                <w:color w:val="000000"/>
                <w:kern w:val="0"/>
                <w:sz w:val="32"/>
                <w:szCs w:val="32"/>
                <w:lang w:val="en-US" w:eastAsia="zh-CN" w:bidi="ar-SA"/>
              </w:rPr>
              <w:t>数据存储管理服务，提供数据规划、评估、审计、咨询、清洗、整理、应用服务，数据增值服务，提供其他未分类数据处理服务。</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left"/>
        <w:textAlignment w:val="auto"/>
        <w:rPr>
          <w:rFonts w:ascii="serif" w:hAnsi="serif" w:eastAsia="serif" w:cs="serif"/>
          <w:color w:val="000000"/>
          <w:kern w:val="0"/>
          <w:sz w:val="27"/>
          <w:szCs w:val="27"/>
          <w:lang w:val="en-US" w:eastAsia="zh-CN" w:bidi="ar-SA"/>
        </w:rPr>
      </w:pPr>
      <w:r>
        <w:rPr>
          <w:rFonts w:ascii="serif" w:hAnsi="serif" w:eastAsia="serif" w:cs="serif"/>
          <w:color w:val="000000"/>
          <w:kern w:val="0"/>
          <w:sz w:val="27"/>
          <w:szCs w:val="27"/>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（二）研究开发和技术服务</w:t>
      </w:r>
    </w:p>
    <w:tbl>
      <w:tblPr>
        <w:tblStyle w:val="4"/>
        <w:tblW w:w="4999" w:type="pct"/>
        <w:tblInd w:w="0" w:type="dxa"/>
        <w:shd w:val="clear" w:color="auto" w:fill="FFFFFF"/>
        <w:tblLayout w:type="autofit"/>
        <w:tblCellMar>
          <w:top w:w="0" w:type="dxa"/>
          <w:left w:w="0" w:type="dxa"/>
          <w:bottom w:w="0" w:type="dxa"/>
          <w:right w:w="0" w:type="dxa"/>
        </w:tblCellMar>
      </w:tblPr>
      <w:tblGrid>
        <w:gridCol w:w="1532"/>
        <w:gridCol w:w="6912"/>
      </w:tblGrid>
      <w:tr>
        <w:tblPrEx>
          <w:tblCellMar>
            <w:top w:w="0" w:type="dxa"/>
            <w:left w:w="0" w:type="dxa"/>
            <w:bottom w:w="0" w:type="dxa"/>
            <w:right w:w="0" w:type="dxa"/>
          </w:tblCellMar>
        </w:tblPrEx>
        <w:trPr>
          <w:tblHeader/>
        </w:trPr>
        <w:tc>
          <w:tcPr>
            <w:tcW w:w="1532"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6912"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tblCellMar>
            <w:top w:w="0" w:type="dxa"/>
            <w:left w:w="0" w:type="dxa"/>
            <w:bottom w:w="0" w:type="dxa"/>
            <w:right w:w="0" w:type="dxa"/>
          </w:tblCellMar>
        </w:tblPrEx>
        <w:tc>
          <w:tcPr>
            <w:tcW w:w="907"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研究和实验开发服务</w:t>
            </w:r>
          </w:p>
        </w:tc>
        <w:tc>
          <w:tcPr>
            <w:tcW w:w="4092"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物理学、化学、生物学、基因学、工程学、医学、农业科学、环境科学、人类地理科学、经济学和人文科学等领域的研究和实验开发服务。</w:t>
            </w:r>
          </w:p>
        </w:tc>
      </w:tr>
      <w:tr>
        <w:tblPrEx>
          <w:tblCellMar>
            <w:top w:w="0" w:type="dxa"/>
            <w:left w:w="0" w:type="dxa"/>
            <w:bottom w:w="0" w:type="dxa"/>
            <w:right w:w="0" w:type="dxa"/>
          </w:tblCellMar>
        </w:tblPrEx>
        <w:tc>
          <w:tcPr>
            <w:tcW w:w="907"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工业设计服务</w:t>
            </w:r>
          </w:p>
        </w:tc>
        <w:tc>
          <w:tcPr>
            <w:tcW w:w="4092"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对产品的材料、结构、机理、形状、颜色和表面处理的设计与选择；对产品进行的综合设计服务，即产品外观的设计、机械结构和电路设计等服务。</w:t>
            </w:r>
          </w:p>
        </w:tc>
      </w:tr>
      <w:tr>
        <w:tblPrEx>
          <w:tblCellMar>
            <w:top w:w="0" w:type="dxa"/>
            <w:left w:w="0" w:type="dxa"/>
            <w:bottom w:w="0" w:type="dxa"/>
            <w:right w:w="0" w:type="dxa"/>
          </w:tblCellMar>
        </w:tblPrEx>
        <w:tc>
          <w:tcPr>
            <w:tcW w:w="907"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知识产权跨境许可与转让</w:t>
            </w:r>
          </w:p>
        </w:tc>
        <w:tc>
          <w:tcPr>
            <w:tcW w:w="4092" w:type="pct"/>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以专利、版权、商标等为载体的技术贸易。知识产权跨境许可是指授权境外机构有偿使用专利、版权和商标等；知识产权跨境转让是指将专利、版权和商标等知识产权售卖给境外机构。</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ascii="CESI楷体-GB2312" w:hAnsi="CESI楷体-GB2312" w:eastAsia="CESI楷体-GB2312" w:cs="CESI楷体-GB2312"/>
          <w:kern w:val="0"/>
          <w:sz w:val="32"/>
          <w:szCs w:val="32"/>
          <w:shd w:val="clear" w:color="auto" w:fill="FFFFFF"/>
          <w:lang w:val="en-US" w:eastAsia="zh-CN" w:bidi="ar-SA"/>
        </w:rPr>
      </w:pPr>
      <w:r>
        <w:rPr>
          <w:rFonts w:ascii="CESI楷体-GB2312" w:hAnsi="CESI楷体-GB2312" w:eastAsia="CESI楷体-GB2312" w:cs="CESI楷体-GB2312"/>
          <w:kern w:val="0"/>
          <w:sz w:val="32"/>
          <w:szCs w:val="32"/>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（三）文化技术服务</w:t>
      </w:r>
    </w:p>
    <w:tbl>
      <w:tblPr>
        <w:tblStyle w:val="4"/>
        <w:tblW w:w="4998" w:type="pct"/>
        <w:tblInd w:w="0" w:type="dxa"/>
        <w:shd w:val="clear" w:color="auto" w:fill="FFFFFF"/>
        <w:tblLayout w:type="autofit"/>
        <w:tblCellMar>
          <w:top w:w="0" w:type="dxa"/>
          <w:left w:w="0" w:type="dxa"/>
          <w:bottom w:w="0" w:type="dxa"/>
          <w:right w:w="0" w:type="dxa"/>
        </w:tblCellMar>
      </w:tblPr>
      <w:tblGrid>
        <w:gridCol w:w="1434"/>
        <w:gridCol w:w="7009"/>
      </w:tblGrid>
      <w:tr>
        <w:tblPrEx>
          <w:shd w:val="clear" w:color="auto" w:fill="FFFFFF"/>
          <w:tblCellMar>
            <w:top w:w="0" w:type="dxa"/>
            <w:left w:w="0" w:type="dxa"/>
            <w:bottom w:w="0" w:type="dxa"/>
            <w:right w:w="0" w:type="dxa"/>
          </w:tblCellMar>
        </w:tblPrEx>
        <w:tc>
          <w:tcPr>
            <w:tcW w:w="1434"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7009"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shd w:val="clear" w:color="auto" w:fill="FFFFFF"/>
          <w:tblCellMar>
            <w:top w:w="0" w:type="dxa"/>
            <w:left w:w="0" w:type="dxa"/>
            <w:bottom w:w="0" w:type="dxa"/>
            <w:right w:w="0" w:type="dxa"/>
          </w:tblCellMar>
        </w:tblPrEx>
        <w:tc>
          <w:tcPr>
            <w:tcW w:w="1434"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文化产品数字制作及相关服务</w:t>
            </w:r>
          </w:p>
        </w:tc>
        <w:tc>
          <w:tcPr>
            <w:tcW w:w="7009"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采用数字技术对舞台剧目、音乐、美术、文物、非物质文化遗产、文献资源等文化内容以及各种出版物进行数字化转化和开发，为各种显示终端提供内容，以及采用数字技术传播、经营文化产品等相关服务。</w:t>
            </w:r>
          </w:p>
        </w:tc>
      </w:tr>
      <w:tr>
        <w:tblPrEx>
          <w:shd w:val="clear" w:color="auto" w:fill="FFFFFF"/>
          <w:tblCellMar>
            <w:top w:w="0" w:type="dxa"/>
            <w:left w:w="0" w:type="dxa"/>
            <w:bottom w:w="0" w:type="dxa"/>
            <w:right w:w="0" w:type="dxa"/>
          </w:tblCellMar>
        </w:tblPrEx>
        <w:tc>
          <w:tcPr>
            <w:tcW w:w="1434"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文化产品的对外翻译、配音及制作服务</w:t>
            </w:r>
          </w:p>
        </w:tc>
        <w:tc>
          <w:tcPr>
            <w:tcW w:w="7009"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将本国文化产品翻译或配音成其他国家语言，将其他国家文化产品翻译或配音成本国语言以及与其相关的制作服务。</w:t>
            </w:r>
          </w:p>
        </w:tc>
      </w:tr>
    </w:tbl>
    <w:p>
      <w:pPr>
        <w:keepNext w:val="0"/>
        <w:keepLines w:val="0"/>
        <w:pageBreakBefore w:val="0"/>
        <w:widowControl/>
        <w:shd w:val="clear" w:color="auto" w:fill="FFFFFF"/>
        <w:kinsoku/>
        <w:overflowPunct/>
        <w:topLinePunct w:val="0"/>
        <w:autoSpaceDE/>
        <w:autoSpaceDN/>
        <w:bidi w:val="0"/>
        <w:adjustRightInd/>
        <w:snapToGrid/>
        <w:spacing w:before="0" w:beforeAutospacing="0" w:after="0" w:afterAutospacing="0" w:line="550" w:lineRule="exact"/>
        <w:ind w:left="0" w:leftChars="0"/>
        <w:jc w:val="both"/>
        <w:textAlignment w:val="auto"/>
        <w:rPr>
          <w:rFonts w:hint="eastAsia" w:ascii="楷体_GB2312" w:hAnsi="楷体_GB2312" w:eastAsia="楷体_GB2312" w:cs="楷体_GB2312"/>
          <w:kern w:val="0"/>
          <w:sz w:val="32"/>
          <w:szCs w:val="32"/>
          <w:lang w:val="en-US" w:eastAsia="zh-CN" w:bidi="ar-SA"/>
        </w:rPr>
      </w:pPr>
      <w:r>
        <w:rPr>
          <w:rFonts w:ascii="CESI楷体-GB2312" w:hAnsi="CESI楷体-GB2312" w:eastAsia="CESI楷体-GB2312" w:cs="CESI楷体-GB2312"/>
          <w:kern w:val="0"/>
          <w:sz w:val="32"/>
          <w:szCs w:val="32"/>
          <w:shd w:val="clear" w:color="auto" w:fill="FFFFFF"/>
          <w:lang w:val="en-US" w:eastAsia="zh-CN" w:bidi="ar-SA"/>
        </w:rPr>
        <w:t>　　</w:t>
      </w:r>
      <w:r>
        <w:rPr>
          <w:rFonts w:hint="eastAsia" w:ascii="楷体_GB2312" w:hAnsi="楷体_GB2312" w:eastAsia="楷体_GB2312" w:cs="楷体_GB2312"/>
          <w:kern w:val="0"/>
          <w:sz w:val="32"/>
          <w:szCs w:val="32"/>
          <w:shd w:val="clear" w:color="auto" w:fill="FFFFFF"/>
          <w:lang w:val="en-US" w:eastAsia="zh-CN" w:bidi="ar-SA"/>
        </w:rPr>
        <w:t>（四）中医药医疗服务</w:t>
      </w:r>
      <w:bookmarkStart w:id="0" w:name="_GoBack"/>
      <w:bookmarkEnd w:id="0"/>
    </w:p>
    <w:tbl>
      <w:tblPr>
        <w:tblStyle w:val="4"/>
        <w:tblW w:w="4998" w:type="pct"/>
        <w:tblInd w:w="0" w:type="dxa"/>
        <w:shd w:val="clear" w:color="auto" w:fill="FFFFFF"/>
        <w:tblLayout w:type="autofit"/>
        <w:tblCellMar>
          <w:top w:w="0" w:type="dxa"/>
          <w:left w:w="0" w:type="dxa"/>
          <w:bottom w:w="0" w:type="dxa"/>
          <w:right w:w="0" w:type="dxa"/>
        </w:tblCellMar>
      </w:tblPr>
      <w:tblGrid>
        <w:gridCol w:w="1601"/>
        <w:gridCol w:w="6842"/>
      </w:tblGrid>
      <w:tr>
        <w:tblPrEx>
          <w:shd w:val="clear" w:color="auto" w:fill="FFFFFF"/>
          <w:tblCellMar>
            <w:top w:w="0" w:type="dxa"/>
            <w:left w:w="0" w:type="dxa"/>
            <w:bottom w:w="0" w:type="dxa"/>
            <w:right w:w="0" w:type="dxa"/>
          </w:tblCellMar>
        </w:tblPrEx>
        <w:tc>
          <w:tcPr>
            <w:tcW w:w="1601"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类别</w:t>
            </w:r>
          </w:p>
        </w:tc>
        <w:tc>
          <w:tcPr>
            <w:tcW w:w="6843"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0" w:lineRule="exact"/>
              <w:ind w:left="0" w:leftChars="0" w:right="0"/>
              <w:jc w:val="center"/>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b/>
                <w:kern w:val="0"/>
                <w:sz w:val="32"/>
                <w:szCs w:val="32"/>
                <w:lang w:val="en-US" w:eastAsia="zh-CN" w:bidi="ar-SA"/>
              </w:rPr>
              <w:t>适用范围</w:t>
            </w:r>
          </w:p>
        </w:tc>
      </w:tr>
      <w:tr>
        <w:tblPrEx>
          <w:shd w:val="clear" w:color="auto" w:fill="FFFFFF"/>
          <w:tblCellMar>
            <w:top w:w="0" w:type="dxa"/>
            <w:left w:w="0" w:type="dxa"/>
            <w:bottom w:w="0" w:type="dxa"/>
            <w:right w:w="0" w:type="dxa"/>
          </w:tblCellMar>
        </w:tblPrEx>
        <w:trPr>
          <w:trHeight w:val="1617" w:hRule="atLeast"/>
        </w:trPr>
        <w:tc>
          <w:tcPr>
            <w:tcW w:w="1601"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中医药医疗保健及相关服务</w:t>
            </w:r>
          </w:p>
        </w:tc>
        <w:tc>
          <w:tcPr>
            <w:tcW w:w="6843" w:type="dxa"/>
            <w:tcBorders>
              <w:top w:val="single" w:color="000000" w:sz="4" w:space="0"/>
              <w:left w:val="single" w:color="000000" w:sz="4" w:space="0"/>
              <w:bottom w:val="single" w:color="000000" w:sz="4" w:space="0"/>
              <w:right w:val="single" w:color="000000" w:sz="4" w:space="0"/>
            </w:tcBorders>
            <w:shd w:val="clear" w:color="auto" w:fill="FFFFFF"/>
            <w:noWrap w:val="0"/>
            <w:tcMar>
              <w:top w:w="50" w:type="dxa"/>
              <w:left w:w="70" w:type="dxa"/>
              <w:bottom w:w="50" w:type="dxa"/>
              <w:right w:w="70"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50" w:lineRule="exact"/>
              <w:ind w:left="0" w:leftChars="0" w:right="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与中医药相关的远程医疗保健、教育培训、文化交流等服务。</w:t>
            </w:r>
          </w:p>
        </w:tc>
      </w:tr>
    </w:tbl>
    <w:p>
      <w:pPr>
        <w:keepNext w:val="0"/>
        <w:keepLines w:val="0"/>
        <w:pageBreakBefore w:val="0"/>
        <w:kinsoku/>
        <w:overflowPunct/>
        <w:topLinePunct w:val="0"/>
        <w:autoSpaceDE/>
        <w:autoSpaceDN/>
        <w:bidi w:val="0"/>
        <w:adjustRightInd/>
        <w:snapToGrid/>
        <w:spacing w:line="550" w:lineRule="exact"/>
        <w:ind w:left="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方正黑体_GBK">
    <w:altName w:val="微软雅黑"/>
    <w:panose1 w:val="02000000000000000000"/>
    <w:charset w:val="86"/>
    <w:family w:val="script"/>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serif">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4"/>
      <w:numFmt w:val="chineseCounting"/>
      <w:suff w:val="nothing"/>
      <w:lvlText w:val="%1、"/>
      <w:lvlJc w:val="left"/>
      <w:pPr>
        <w:ind w:left="-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15D07"/>
    <w:rsid w:val="2D415D07"/>
    <w:rsid w:val="437F3696"/>
    <w:rsid w:val="77AFD1DB"/>
    <w:rsid w:val="7AAC3650"/>
    <w:rsid w:val="7FFFB391"/>
    <w:rsid w:val="AF1AE6F4"/>
    <w:rsid w:val="FB5B3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2022-09-04T04:55:00Z</dcterms:created>
  <dc:creator>123</dc:creator>
  <cp:lastModifiedBy>lynn</cp:lastModifiedBy>
  <dcterms:modified xsi:type="dcterms:W3CDTF">2023-04-14T08:50:24Z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90CD366D43404275ABB29267AF212844</vt:lpwstr>
  </property>
</Properties>
</file>