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200" w:beforeAutospacing="0" w:afterLines="100" w:afterAutospacing="0"/>
        <w:ind w:firstLine="420"/>
        <w:jc w:val="center"/>
        <w:rPr>
          <w:rFonts w:hint="eastAsia" w:ascii="方正小标宋简体" w:hAnsi="华文中宋" w:eastAsia="方正小标宋简体" w:cs="黑体"/>
          <w:b w:val="0"/>
          <w:bCs/>
          <w:sz w:val="44"/>
          <w:szCs w:val="44"/>
          <w:lang w:eastAsia="zh-CN"/>
        </w:rPr>
      </w:pPr>
      <w:bookmarkStart w:id="0" w:name="_GoBack"/>
      <w:bookmarkEnd w:id="0"/>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eastAsia="zh-CN"/>
        </w:rPr>
        <w:t>度</w:t>
      </w:r>
      <w:r>
        <w:rPr>
          <w:rFonts w:hint="eastAsia" w:ascii="方正小标宋简体" w:hAnsi="方正小标宋简体" w:eastAsia="方正小标宋简体" w:cs="方正小标宋简体"/>
          <w:b w:val="0"/>
          <w:bCs w:val="0"/>
          <w:sz w:val="44"/>
          <w:szCs w:val="44"/>
          <w:lang w:val="en-US" w:eastAsia="zh-CN"/>
        </w:rPr>
        <w:t>知识产权重大专项资助</w:t>
      </w:r>
      <w:r>
        <w:rPr>
          <w:rFonts w:hint="eastAsia" w:ascii="方正小标宋简体" w:hAnsi="方正小标宋简体" w:eastAsia="方正小标宋简体" w:cs="方正小标宋简体"/>
          <w:b w:val="0"/>
          <w:bCs w:val="0"/>
          <w:sz w:val="44"/>
          <w:szCs w:val="44"/>
        </w:rPr>
        <w:t>项目</w:t>
      </w:r>
      <w:r>
        <w:rPr>
          <w:rFonts w:hint="eastAsia" w:ascii="方正小标宋简体" w:hAnsi="方正小标宋简体" w:eastAsia="方正小标宋简体" w:cs="方正小标宋简体"/>
          <w:b w:val="0"/>
          <w:bCs w:val="0"/>
          <w:sz w:val="44"/>
          <w:szCs w:val="44"/>
        </w:rPr>
        <w:br w:type="textWrapping"/>
      </w:r>
      <w:r>
        <w:rPr>
          <w:rFonts w:hint="eastAsia" w:ascii="方正小标宋简体" w:hAnsi="方正小标宋简体" w:eastAsia="方正小标宋简体" w:cs="方正小标宋简体"/>
          <w:b w:val="0"/>
          <w:bCs w:val="0"/>
          <w:sz w:val="44"/>
          <w:szCs w:val="44"/>
        </w:rPr>
        <w:t>申报指南</w:t>
      </w:r>
    </w:p>
    <w:p>
      <w:pPr>
        <w:pStyle w:val="1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申报内容</w:t>
      </w:r>
    </w:p>
    <w:p>
      <w:pPr>
        <w:numPr>
          <w:ilvl w:val="0"/>
          <w:numId w:val="0"/>
        </w:numPr>
        <w:snapToGrid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lang w:val="en-US" w:eastAsia="zh-CN"/>
        </w:rPr>
        <w:t>知识产权重大专项资助项目。</w:t>
      </w:r>
    </w:p>
    <w:p>
      <w:pPr>
        <w:pStyle w:val="1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设定依据</w:t>
      </w:r>
    </w:p>
    <w:p>
      <w:pPr>
        <w:numPr>
          <w:ilvl w:val="0"/>
          <w:numId w:val="0"/>
        </w:numPr>
        <w:snapToGrid w:val="0"/>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（一）《深圳市市场监督管理局专项资金管理办法》</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深市监规〔2020〕3号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numPr>
          <w:ilvl w:val="0"/>
          <w:numId w:val="0"/>
        </w:numPr>
        <w:snapToGrid w:val="0"/>
        <w:spacing w:line="560" w:lineRule="exact"/>
        <w:ind w:firstLine="640" w:firstLineChars="200"/>
        <w:jc w:val="left"/>
        <w:rPr>
          <w:rFonts w:ascii="仿宋_GB2312" w:eastAsia="仿宋_GB2312"/>
          <w:sz w:val="32"/>
          <w:szCs w:val="32"/>
          <w:highlight w:val="yellow"/>
        </w:rPr>
      </w:pPr>
      <w:r>
        <w:rPr>
          <w:rFonts w:hint="eastAsia" w:ascii="仿宋_GB2312" w:eastAsia="仿宋_GB2312"/>
          <w:sz w:val="32"/>
          <w:szCs w:val="32"/>
          <w:highlight w:val="none"/>
        </w:rPr>
        <w:t>（二）《深圳市市场监督管理局知识产权领域专项资金操作规程》</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深市监规〔20</w:t>
      </w:r>
      <w:r>
        <w:rPr>
          <w:rFonts w:hint="eastAsia" w:ascii="仿宋_GB2312" w:eastAsia="仿宋_GB2312"/>
          <w:sz w:val="32"/>
          <w:szCs w:val="32"/>
          <w:highlight w:val="none"/>
          <w:lang w:val="en-US" w:eastAsia="zh-CN"/>
        </w:rPr>
        <w:t>24</w:t>
      </w:r>
      <w:r>
        <w:rPr>
          <w:rFonts w:hint="eastAsia" w:ascii="仿宋_GB2312" w:eastAsia="仿宋_GB2312"/>
          <w:sz w:val="32"/>
          <w:szCs w:val="32"/>
          <w:highlight w:val="none"/>
        </w:rPr>
        <w:t>〕</w:t>
      </w:r>
      <w:r>
        <w:rPr>
          <w:rFonts w:hint="default" w:ascii="仿宋_GB2312" w:eastAsia="仿宋_GB2312"/>
          <w:sz w:val="32"/>
          <w:szCs w:val="32"/>
          <w:highlight w:val="none"/>
          <w:lang w:val="en"/>
        </w:rPr>
        <w:t>5</w:t>
      </w:r>
      <w:r>
        <w:rPr>
          <w:rFonts w:hint="eastAsia" w:ascii="仿宋_GB2312" w:eastAsia="仿宋_GB2312"/>
          <w:sz w:val="32"/>
          <w:szCs w:val="32"/>
          <w:highlight w:val="none"/>
        </w:rPr>
        <w:t>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w:t>
      </w:r>
    </w:p>
    <w:p>
      <w:pPr>
        <w:pStyle w:val="1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资助</w:t>
      </w:r>
      <w:r>
        <w:rPr>
          <w:rFonts w:hint="eastAsia" w:ascii="黑体" w:hAnsi="黑体" w:eastAsia="黑体"/>
          <w:sz w:val="32"/>
          <w:szCs w:val="32"/>
          <w:lang w:eastAsia="zh-CN"/>
        </w:rPr>
        <w:t>标准</w:t>
      </w:r>
      <w:r>
        <w:rPr>
          <w:rFonts w:ascii="黑体" w:hAnsi="黑体" w:eastAsia="黑体"/>
          <w:sz w:val="32"/>
          <w:szCs w:val="32"/>
        </w:rPr>
        <w:t xml:space="preserve"> </w:t>
      </w:r>
    </w:p>
    <w:p>
      <w:pPr>
        <w:snapToGrid w:val="0"/>
        <w:spacing w:line="560" w:lineRule="exact"/>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深圳市知识产权主管部门根据国家、省、市重点工作部署，对要求重点推进的知识产权专项工作发布申请指南，每年评选不超过</w:t>
      </w:r>
      <w:r>
        <w:rPr>
          <w:rFonts w:ascii="仿宋_GB2312" w:hAnsi="仿宋_GB2312" w:eastAsia="仿宋_GB2312" w:cs="仿宋_GB2312"/>
          <w:b w:val="0"/>
          <w:bCs w:val="0"/>
          <w:kern w:val="2"/>
          <w:sz w:val="32"/>
          <w:szCs w:val="32"/>
          <w:lang w:val="en-US" w:eastAsia="zh-CN" w:bidi="ar-SA"/>
        </w:rPr>
        <w:t>3个项目，每项资助不超过200万元。具体项目内容将根据当年度重点工作部署进行确定。</w:t>
      </w:r>
    </w:p>
    <w:p>
      <w:pPr>
        <w:pStyle w:val="16"/>
        <w:numPr>
          <w:ilvl w:val="0"/>
          <w:numId w:val="1"/>
        </w:numPr>
        <w:snapToGrid w:val="0"/>
        <w:spacing w:line="560" w:lineRule="exact"/>
        <w:ind w:left="1361" w:firstLineChars="0"/>
        <w:rPr>
          <w:rFonts w:ascii="黑体" w:hAnsi="黑体" w:eastAsia="黑体"/>
          <w:sz w:val="32"/>
          <w:szCs w:val="32"/>
        </w:rPr>
      </w:pPr>
      <w:r>
        <w:rPr>
          <w:rFonts w:hint="eastAsia" w:ascii="黑体" w:hAnsi="黑体" w:eastAsia="黑体"/>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申请人应当同时符合下列条件</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（一）申请人属于依法登记注册的企事业单位、社会组织或者其他机构；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（二）在深圳市从事生产经营活动，在深圳市拥有稳定办公场所；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firstLine="640" w:firstLineChars="200"/>
        <w:jc w:val="both"/>
        <w:textAlignment w:val="auto"/>
        <w:rPr>
          <w:rFonts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（三）具有从事知识产权重大专项的专业人才和团队，以及保障实施重大专项任务的其他必要条件保障。</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不予资助的情形</w:t>
      </w:r>
    </w:p>
    <w:p>
      <w:pPr>
        <w:snapToGrid w:val="0"/>
        <w:spacing w:line="560" w:lineRule="exact"/>
        <w:ind w:firstLine="640" w:firstLineChars="200"/>
        <w:rPr>
          <w:rFonts w:eastAsia="仿宋_GB2312"/>
          <w:b/>
          <w:sz w:val="32"/>
        </w:rPr>
      </w:pPr>
      <w:r>
        <w:rPr>
          <w:rFonts w:hint="eastAsia" w:ascii="仿宋_GB2312" w:hAnsi="仿宋_GB2312" w:eastAsia="仿宋_GB2312" w:cs="仿宋_GB2312"/>
          <w:sz w:val="32"/>
          <w:szCs w:val="32"/>
        </w:rPr>
        <w:t>申请人存在下列情形之一的，不予资助：</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（一）不符合相关法律、法规、规章、专项资金管理办法、专项资金操作规程有关要求的；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（二）经查询深圳市信用网，依法依规被纳入严重失信主体名单的；</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）所申请项目已经获得市级同类资助或者奖励的；</w:t>
      </w:r>
    </w:p>
    <w:p>
      <w:pPr>
        <w:adjustRightInd w:val="0"/>
        <w:snapToGrid w:val="0"/>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）申请人主体已经消亡，或者进入破产清算程序的。</w:t>
      </w:r>
    </w:p>
    <w:p>
      <w:pPr>
        <w:pStyle w:val="16"/>
        <w:numPr>
          <w:ilvl w:val="0"/>
          <w:numId w:val="1"/>
        </w:numPr>
        <w:snapToGrid w:val="0"/>
        <w:spacing w:line="560" w:lineRule="exact"/>
        <w:ind w:left="1361" w:firstLineChars="0"/>
        <w:rPr>
          <w:rFonts w:ascii="黑体" w:hAnsi="黑体" w:eastAsia="黑体" w:cs="黑体"/>
          <w:sz w:val="32"/>
          <w:szCs w:val="32"/>
          <w:highlight w:val="none"/>
        </w:rPr>
      </w:pPr>
      <w:r>
        <w:rPr>
          <w:rFonts w:hint="eastAsia" w:ascii="黑体" w:hAnsi="黑体" w:eastAsia="黑体" w:cs="黑体"/>
          <w:sz w:val="32"/>
          <w:szCs w:val="32"/>
          <w:highlight w:val="none"/>
          <w:lang w:eastAsia="zh-CN"/>
        </w:rPr>
        <w:t>申报说明</w:t>
      </w:r>
    </w:p>
    <w:p>
      <w:pPr>
        <w:pStyle w:val="16"/>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项目</w:t>
      </w:r>
      <w:r>
        <w:rPr>
          <w:rFonts w:hint="eastAsia" w:ascii="楷体_GB2312" w:hAnsi="楷体_GB2312" w:eastAsia="楷体_GB2312" w:cs="楷体_GB2312"/>
          <w:b/>
          <w:bCs/>
          <w:sz w:val="32"/>
          <w:szCs w:val="32"/>
          <w:highlight w:val="none"/>
          <w:lang w:eastAsia="zh-CN"/>
        </w:rPr>
        <w:t>主题</w:t>
      </w:r>
    </w:p>
    <w:p>
      <w:pPr>
        <w:snapToGrid w:val="0"/>
        <w:spacing w:line="560" w:lineRule="exact"/>
        <w:ind w:firstLine="640" w:firstLineChars="200"/>
        <w:rPr>
          <w:rFonts w:ascii="楷体_GB2312" w:hAnsi="楷体_GB2312" w:eastAsia="楷体_GB2312" w:cs="楷体_GB2312"/>
          <w:b/>
          <w:bCs/>
          <w:sz w:val="32"/>
          <w:szCs w:val="32"/>
          <w:highlight w:val="none"/>
        </w:rPr>
      </w:pPr>
      <w:r>
        <w:rPr>
          <w:rFonts w:hint="eastAsia" w:ascii="仿宋_GB2312" w:eastAsia="仿宋_GB2312"/>
          <w:sz w:val="32"/>
          <w:szCs w:val="32"/>
          <w:highlight w:val="none"/>
        </w:rPr>
        <w:t>根据国家、省、市重点工作部署重点推进的知识产权专项工作，</w:t>
      </w:r>
      <w:r>
        <w:rPr>
          <w:rFonts w:hint="eastAsia" w:ascii="仿宋_GB2312" w:eastAsia="仿宋_GB2312"/>
          <w:sz w:val="32"/>
          <w:szCs w:val="32"/>
          <w:highlight w:val="none"/>
          <w:lang w:eastAsia="zh-CN"/>
        </w:rPr>
        <w:t>经研究，</w:t>
      </w:r>
      <w:r>
        <w:rPr>
          <w:rFonts w:hint="eastAsia" w:ascii="仿宋_GB2312" w:eastAsia="仿宋_GB2312"/>
          <w:sz w:val="32"/>
          <w:szCs w:val="32"/>
          <w:highlight w:val="none"/>
        </w:rPr>
        <w:t>202</w:t>
      </w:r>
      <w:r>
        <w:rPr>
          <w:rFonts w:hint="default" w:ascii="仿宋_GB2312" w:eastAsia="仿宋_GB2312"/>
          <w:sz w:val="32"/>
          <w:szCs w:val="32"/>
          <w:highlight w:val="none"/>
          <w:lang w:val="en"/>
        </w:rPr>
        <w:t>4</w:t>
      </w:r>
      <w:r>
        <w:rPr>
          <w:rFonts w:hint="eastAsia" w:ascii="仿宋_GB2312" w:eastAsia="仿宋_GB2312"/>
          <w:sz w:val="32"/>
          <w:szCs w:val="32"/>
          <w:highlight w:val="none"/>
        </w:rPr>
        <w:t>年开展</w:t>
      </w:r>
      <w:r>
        <w:rPr>
          <w:rFonts w:hint="eastAsia" w:ascii="仿宋_GB2312" w:eastAsia="仿宋_GB2312"/>
          <w:sz w:val="32"/>
          <w:szCs w:val="32"/>
          <w:highlight w:val="none"/>
          <w:lang w:val="en-US" w:eastAsia="zh-CN"/>
        </w:rPr>
        <w:t>3</w:t>
      </w:r>
      <w:r>
        <w:rPr>
          <w:rFonts w:hint="eastAsia" w:ascii="仿宋_GB2312" w:eastAsia="仿宋_GB2312"/>
          <w:color w:val="auto"/>
          <w:sz w:val="32"/>
          <w:szCs w:val="32"/>
          <w:highlight w:val="none"/>
        </w:rPr>
        <w:t>个</w:t>
      </w:r>
      <w:r>
        <w:rPr>
          <w:rFonts w:hint="eastAsia" w:ascii="仿宋_GB2312" w:eastAsia="仿宋_GB2312"/>
          <w:sz w:val="32"/>
          <w:szCs w:val="32"/>
          <w:highlight w:val="none"/>
        </w:rPr>
        <w:t>知识产权重大专项资助项目，具体参照202</w:t>
      </w:r>
      <w:r>
        <w:rPr>
          <w:rFonts w:hint="default" w:ascii="仿宋_GB2312" w:eastAsia="仿宋_GB2312"/>
          <w:sz w:val="32"/>
          <w:szCs w:val="32"/>
          <w:highlight w:val="none"/>
          <w:lang w:val="en"/>
        </w:rPr>
        <w:t>4</w:t>
      </w:r>
      <w:r>
        <w:rPr>
          <w:rFonts w:hint="eastAsia" w:ascii="仿宋_GB2312" w:eastAsia="仿宋_GB2312"/>
          <w:sz w:val="32"/>
          <w:szCs w:val="32"/>
          <w:highlight w:val="none"/>
        </w:rPr>
        <w:t>年</w:t>
      </w:r>
      <w:r>
        <w:rPr>
          <w:rFonts w:hint="eastAsia" w:ascii="仿宋_GB2312" w:hAnsi="华文中宋" w:eastAsia="仿宋_GB2312" w:cs="黑体"/>
          <w:bCs/>
          <w:sz w:val="32"/>
          <w:szCs w:val="32"/>
          <w:highlight w:val="none"/>
        </w:rPr>
        <w:t>深圳市知识产权重大专项资助</w:t>
      </w:r>
      <w:r>
        <w:rPr>
          <w:rFonts w:hint="eastAsia" w:ascii="仿宋_GB2312" w:eastAsia="仿宋_GB2312"/>
          <w:sz w:val="32"/>
          <w:szCs w:val="32"/>
          <w:highlight w:val="none"/>
        </w:rPr>
        <w:t>项目清单。</w:t>
      </w:r>
    </w:p>
    <w:p>
      <w:pPr>
        <w:pStyle w:val="16"/>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项目方向</w:t>
      </w:r>
    </w:p>
    <w:p>
      <w:pPr>
        <w:snapToGrid w:val="0"/>
        <w:spacing w:line="560" w:lineRule="exact"/>
        <w:ind w:firstLine="640" w:firstLineChars="200"/>
        <w:rPr>
          <w:rFonts w:hint="eastAsia" w:ascii="仿宋_GB2312" w:hAnsi="华文中宋" w:eastAsia="仿宋_GB2312" w:cs="黑体"/>
          <w:bCs/>
          <w:color w:val="auto"/>
          <w:sz w:val="32"/>
          <w:szCs w:val="32"/>
          <w:highlight w:val="none"/>
          <w:lang w:eastAsia="zh-CN"/>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w:t>
      </w:r>
      <w:r>
        <w:rPr>
          <w:rFonts w:hint="eastAsia" w:ascii="仿宋_GB2312" w:hAnsi="华文中宋" w:eastAsia="仿宋_GB2312" w:cs="黑体"/>
          <w:bCs/>
          <w:sz w:val="32"/>
          <w:szCs w:val="32"/>
          <w:highlight w:val="none"/>
        </w:rPr>
        <w:t>深圳市知识产权重大专项资助项目方向</w:t>
      </w:r>
      <w:r>
        <w:rPr>
          <w:rFonts w:hint="eastAsia" w:ascii="仿宋_GB2312" w:hAnsi="华文中宋" w:eastAsia="仿宋_GB2312" w:cs="黑体"/>
          <w:bCs/>
          <w:sz w:val="32"/>
          <w:szCs w:val="32"/>
          <w:highlight w:val="none"/>
          <w:lang w:eastAsia="zh-CN"/>
        </w:rPr>
        <w:t>分别</w:t>
      </w:r>
      <w:r>
        <w:rPr>
          <w:rFonts w:hint="eastAsia" w:ascii="仿宋_GB2312" w:hAnsi="华文中宋" w:eastAsia="仿宋_GB2312" w:cs="黑体"/>
          <w:bCs/>
          <w:sz w:val="32"/>
          <w:szCs w:val="32"/>
          <w:highlight w:val="none"/>
        </w:rPr>
        <w:t>为</w:t>
      </w:r>
      <w:r>
        <w:rPr>
          <w:rFonts w:hint="eastAsia" w:ascii="仿宋_GB2312" w:hAnsi="华文中宋" w:eastAsia="仿宋_GB2312" w:cs="黑体"/>
          <w:bCs/>
          <w:color w:val="auto"/>
          <w:sz w:val="32"/>
          <w:szCs w:val="32"/>
          <w:highlight w:val="none"/>
        </w:rPr>
        <w:t>“20+8”</w:t>
      </w:r>
      <w:r>
        <w:rPr>
          <w:rFonts w:hint="eastAsia" w:ascii="仿宋_GB2312" w:hAnsi="华文中宋" w:eastAsia="仿宋_GB2312" w:cs="黑体"/>
          <w:bCs/>
          <w:color w:val="auto"/>
          <w:sz w:val="32"/>
          <w:szCs w:val="32"/>
          <w:highlight w:val="none"/>
          <w:lang w:eastAsia="zh-CN"/>
        </w:rPr>
        <w:t>重点</w:t>
      </w:r>
      <w:r>
        <w:rPr>
          <w:rFonts w:hint="eastAsia" w:ascii="仿宋_GB2312" w:hAnsi="华文中宋" w:eastAsia="仿宋_GB2312" w:cs="黑体"/>
          <w:bCs/>
          <w:color w:val="auto"/>
          <w:sz w:val="32"/>
          <w:szCs w:val="32"/>
          <w:highlight w:val="none"/>
        </w:rPr>
        <w:t>产业集群专利</w:t>
      </w:r>
      <w:r>
        <w:rPr>
          <w:rFonts w:hint="eastAsia" w:ascii="仿宋_GB2312" w:hAnsi="华文中宋" w:eastAsia="仿宋_GB2312" w:cs="黑体"/>
          <w:bCs/>
          <w:color w:val="auto"/>
          <w:sz w:val="32"/>
          <w:szCs w:val="32"/>
          <w:highlight w:val="none"/>
          <w:lang w:eastAsia="zh-CN"/>
        </w:rPr>
        <w:t>申请质量评估</w:t>
      </w:r>
      <w:r>
        <w:rPr>
          <w:rFonts w:hint="eastAsia" w:ascii="仿宋_GB2312" w:hAnsi="华文中宋" w:eastAsia="仿宋_GB2312" w:cs="黑体"/>
          <w:bCs/>
          <w:color w:val="auto"/>
          <w:sz w:val="32"/>
          <w:szCs w:val="32"/>
          <w:highlight w:val="none"/>
        </w:rPr>
        <w:t>数据服务项目</w:t>
      </w:r>
      <w:r>
        <w:rPr>
          <w:rFonts w:hint="eastAsia" w:ascii="仿宋_GB2312" w:hAnsi="华文中宋" w:eastAsia="仿宋_GB2312" w:cs="黑体"/>
          <w:bCs/>
          <w:color w:val="auto"/>
          <w:sz w:val="32"/>
          <w:szCs w:val="32"/>
          <w:highlight w:val="none"/>
          <w:lang w:val="en-US" w:eastAsia="zh-CN"/>
        </w:rPr>
        <w:t>、专利转化供需对接指导及相关政策研究项目、</w:t>
      </w:r>
      <w:r>
        <w:rPr>
          <w:rFonts w:hint="eastAsia" w:ascii="仿宋_GB2312" w:hAnsi="华文中宋" w:eastAsia="仿宋_GB2312" w:cs="黑体"/>
          <w:bCs/>
          <w:color w:val="auto"/>
          <w:sz w:val="32"/>
          <w:szCs w:val="32"/>
          <w:highlight w:val="none"/>
        </w:rPr>
        <w:t>深圳市知识产权公共服务</w:t>
      </w:r>
      <w:r>
        <w:rPr>
          <w:rFonts w:hint="default" w:ascii="仿宋_GB2312" w:hAnsi="华文中宋" w:eastAsia="仿宋_GB2312" w:cs="黑体"/>
          <w:bCs/>
          <w:color w:val="auto"/>
          <w:sz w:val="32"/>
          <w:szCs w:val="32"/>
          <w:highlight w:val="none"/>
        </w:rPr>
        <w:t>质量提升</w:t>
      </w:r>
      <w:r>
        <w:rPr>
          <w:rFonts w:hint="eastAsia" w:ascii="仿宋_GB2312" w:hAnsi="华文中宋" w:eastAsia="仿宋_GB2312" w:cs="黑体"/>
          <w:bCs/>
          <w:color w:val="auto"/>
          <w:sz w:val="32"/>
          <w:szCs w:val="32"/>
          <w:highlight w:val="none"/>
        </w:rPr>
        <w:t>研究及辅导支撑项目</w:t>
      </w:r>
      <w:r>
        <w:rPr>
          <w:rFonts w:hint="eastAsia" w:ascii="仿宋_GB2312" w:hAnsi="华文中宋" w:eastAsia="仿宋_GB2312" w:cs="黑体"/>
          <w:bCs/>
          <w:color w:val="auto"/>
          <w:sz w:val="32"/>
          <w:szCs w:val="32"/>
          <w:highlight w:val="none"/>
          <w:lang w:eastAsia="zh-CN"/>
        </w:rPr>
        <w:t>。</w:t>
      </w:r>
    </w:p>
    <w:p>
      <w:pPr>
        <w:numPr>
          <w:ilvl w:val="0"/>
          <w:numId w:val="3"/>
        </w:numPr>
        <w:snapToGrid w:val="0"/>
        <w:spacing w:line="560" w:lineRule="exact"/>
        <w:ind w:firstLine="640" w:firstLineChars="200"/>
        <w:rPr>
          <w:rFonts w:hint="eastAsia" w:ascii="仿宋_GB2312" w:hAnsi="华文中宋" w:eastAsia="仿宋_GB2312" w:cs="黑体"/>
          <w:bCs/>
          <w:sz w:val="32"/>
          <w:szCs w:val="32"/>
          <w:highlight w:val="none"/>
          <w:lang w:val="en-US" w:eastAsia="zh-CN"/>
        </w:rPr>
      </w:pPr>
      <w:r>
        <w:rPr>
          <w:rFonts w:hint="eastAsia" w:ascii="仿宋_GB2312" w:hAnsi="华文中宋" w:eastAsia="仿宋_GB2312" w:cs="黑体"/>
          <w:bCs/>
          <w:color w:val="auto"/>
          <w:sz w:val="32"/>
          <w:szCs w:val="32"/>
          <w:highlight w:val="none"/>
        </w:rPr>
        <w:t>“20+8”</w:t>
      </w:r>
      <w:r>
        <w:rPr>
          <w:rFonts w:hint="eastAsia" w:ascii="仿宋_GB2312" w:hAnsi="华文中宋" w:eastAsia="仿宋_GB2312" w:cs="黑体"/>
          <w:bCs/>
          <w:color w:val="auto"/>
          <w:sz w:val="32"/>
          <w:szCs w:val="32"/>
          <w:highlight w:val="none"/>
          <w:lang w:eastAsia="zh-CN"/>
        </w:rPr>
        <w:t>重点</w:t>
      </w:r>
      <w:r>
        <w:rPr>
          <w:rFonts w:hint="eastAsia" w:ascii="仿宋_GB2312" w:hAnsi="华文中宋" w:eastAsia="仿宋_GB2312" w:cs="黑体"/>
          <w:bCs/>
          <w:color w:val="auto"/>
          <w:sz w:val="32"/>
          <w:szCs w:val="32"/>
          <w:highlight w:val="none"/>
        </w:rPr>
        <w:t>产业集群专利</w:t>
      </w:r>
      <w:r>
        <w:rPr>
          <w:rFonts w:hint="eastAsia" w:ascii="仿宋_GB2312" w:hAnsi="华文中宋" w:eastAsia="仿宋_GB2312" w:cs="黑体"/>
          <w:bCs/>
          <w:color w:val="auto"/>
          <w:sz w:val="32"/>
          <w:szCs w:val="32"/>
          <w:highlight w:val="none"/>
          <w:lang w:eastAsia="zh-CN"/>
        </w:rPr>
        <w:t>申请质量评估</w:t>
      </w:r>
      <w:r>
        <w:rPr>
          <w:rFonts w:hint="eastAsia" w:ascii="仿宋_GB2312" w:hAnsi="华文中宋" w:eastAsia="仿宋_GB2312" w:cs="黑体"/>
          <w:bCs/>
          <w:color w:val="auto"/>
          <w:sz w:val="32"/>
          <w:szCs w:val="32"/>
          <w:highlight w:val="none"/>
        </w:rPr>
        <w:t>数据服务项目</w:t>
      </w:r>
      <w:r>
        <w:rPr>
          <w:rFonts w:hint="eastAsia" w:ascii="仿宋_GB2312" w:hAnsi="华文中宋" w:eastAsia="仿宋_GB2312" w:cs="黑体"/>
          <w:bCs/>
          <w:color w:val="auto"/>
          <w:sz w:val="32"/>
          <w:szCs w:val="32"/>
          <w:highlight w:val="none"/>
          <w:lang w:val="en-US" w:eastAsia="zh-CN"/>
        </w:rPr>
        <w:t>。该项目</w:t>
      </w:r>
      <w:r>
        <w:rPr>
          <w:rFonts w:hint="eastAsia" w:ascii="仿宋_GB2312" w:hAnsi="华文中宋" w:eastAsia="仿宋_GB2312" w:cs="黑体"/>
          <w:bCs/>
          <w:sz w:val="32"/>
          <w:szCs w:val="32"/>
          <w:highlight w:val="none"/>
          <w:lang w:val="en-US" w:eastAsia="zh-CN"/>
        </w:rPr>
        <w:t>旨在</w:t>
      </w:r>
      <w:r>
        <w:rPr>
          <w:rFonts w:hint="eastAsia" w:ascii="仿宋_GB2312" w:hAnsi="华文中宋" w:eastAsia="仿宋_GB2312" w:cs="黑体"/>
          <w:bCs/>
          <w:sz w:val="32"/>
          <w:szCs w:val="32"/>
          <w:highlight w:val="none"/>
        </w:rPr>
        <w:t>聚焦我市“20+8”重点产业集群，对于创新主体提交的专利申请进行质量分析与数据分析，每月返还专利申请质量筛查数据。结合产业发展形势及要求，针对专利申请质量进行评估，研究专利申请质量提升工程中存在的薄弱环节及关键问题。形成重点产业专利申请质量评估报告，帮助企业“对症施治”，为我市“20+8”产业创新主体加强专利布局及申请前评估提出指导建议及数据参考，为我市专利质量提升及推动专利产业化提供数据支撑。</w:t>
      </w:r>
    </w:p>
    <w:p>
      <w:pPr>
        <w:numPr>
          <w:ilvl w:val="0"/>
          <w:numId w:val="3"/>
        </w:numPr>
        <w:snapToGrid w:val="0"/>
        <w:spacing w:line="560" w:lineRule="exact"/>
        <w:ind w:firstLine="640" w:firstLineChars="200"/>
        <w:rPr>
          <w:rFonts w:hint="eastAsia" w:ascii="仿宋_GB2312" w:hAnsi="华文中宋" w:eastAsia="仿宋_GB2312" w:cs="黑体"/>
          <w:bCs/>
          <w:sz w:val="32"/>
          <w:szCs w:val="32"/>
          <w:highlight w:val="none"/>
          <w:lang w:eastAsia="zh-CN"/>
        </w:rPr>
      </w:pPr>
      <w:r>
        <w:rPr>
          <w:rFonts w:hint="eastAsia" w:ascii="仿宋_GB2312" w:hAnsi="华文中宋" w:eastAsia="仿宋_GB2312" w:cs="黑体"/>
          <w:bCs/>
          <w:color w:val="auto"/>
          <w:sz w:val="32"/>
          <w:szCs w:val="32"/>
          <w:highlight w:val="none"/>
        </w:rPr>
        <w:t>专利转化供需对接指导及相关政策研究项目</w:t>
      </w:r>
      <w:r>
        <w:rPr>
          <w:rFonts w:hint="eastAsia" w:ascii="仿宋_GB2312" w:hAnsi="华文中宋" w:eastAsia="仿宋_GB2312" w:cs="黑体"/>
          <w:bCs/>
          <w:color w:val="auto"/>
          <w:sz w:val="32"/>
          <w:szCs w:val="32"/>
          <w:highlight w:val="none"/>
          <w:lang w:val="en-US" w:eastAsia="zh-CN"/>
        </w:rPr>
        <w:t>。</w:t>
      </w:r>
      <w:r>
        <w:rPr>
          <w:rFonts w:hint="eastAsia" w:ascii="仿宋_GB2312" w:hAnsi="华文中宋" w:eastAsia="仿宋_GB2312" w:cs="黑体"/>
          <w:bCs/>
          <w:sz w:val="32"/>
          <w:szCs w:val="32"/>
          <w:highlight w:val="none"/>
          <w:lang w:val="en-US" w:eastAsia="zh-CN"/>
        </w:rPr>
        <w:t>该项目旨在</w:t>
      </w:r>
      <w:r>
        <w:rPr>
          <w:rFonts w:hint="eastAsia" w:ascii="仿宋_GB2312" w:hAnsi="华文中宋" w:eastAsia="仿宋_GB2312" w:cs="黑体"/>
          <w:bCs/>
          <w:sz w:val="32"/>
          <w:szCs w:val="32"/>
          <w:highlight w:val="none"/>
        </w:rPr>
        <w:t>根据《国务院办公厅关于印发&lt;专利转化运用专项行动方案（2023—2025年）&gt;的通知》的有关要求，</w:t>
      </w:r>
      <w:r>
        <w:rPr>
          <w:rFonts w:hint="eastAsia" w:ascii="仿宋_GB2312" w:hAnsi="华文中宋" w:eastAsia="仿宋_GB2312" w:cs="黑体"/>
          <w:bCs/>
          <w:sz w:val="32"/>
          <w:szCs w:val="32"/>
          <w:highlight w:val="none"/>
          <w:lang w:eastAsia="zh-CN"/>
        </w:rPr>
        <w:t>摸清我市高校和科研院所存量专利底数、</w:t>
      </w:r>
      <w:r>
        <w:rPr>
          <w:rFonts w:hint="eastAsia" w:ascii="仿宋_GB2312" w:hAnsi="华文中宋" w:eastAsia="仿宋_GB2312" w:cs="黑体"/>
          <w:bCs/>
          <w:sz w:val="32"/>
          <w:szCs w:val="32"/>
          <w:highlight w:val="none"/>
        </w:rPr>
        <w:t>挖掘重点产业专利需求</w:t>
      </w:r>
      <w:r>
        <w:rPr>
          <w:rFonts w:hint="eastAsia" w:ascii="仿宋_GB2312" w:hAnsi="华文中宋" w:eastAsia="仿宋_GB2312" w:cs="黑体"/>
          <w:bCs/>
          <w:sz w:val="32"/>
          <w:szCs w:val="32"/>
          <w:highlight w:val="none"/>
          <w:lang w:eastAsia="zh-CN"/>
        </w:rPr>
        <w:t>，有针对性的提供</w:t>
      </w:r>
      <w:r>
        <w:rPr>
          <w:rFonts w:hint="eastAsia" w:ascii="仿宋_GB2312" w:hAnsi="华文中宋" w:eastAsia="仿宋_GB2312" w:cs="黑体"/>
          <w:bCs/>
          <w:sz w:val="32"/>
          <w:szCs w:val="32"/>
          <w:highlight w:val="none"/>
        </w:rPr>
        <w:t>专利转化供需对接</w:t>
      </w:r>
      <w:r>
        <w:rPr>
          <w:rFonts w:hint="eastAsia" w:ascii="仿宋_GB2312" w:hAnsi="华文中宋" w:eastAsia="仿宋_GB2312" w:cs="黑体"/>
          <w:bCs/>
          <w:sz w:val="32"/>
          <w:szCs w:val="32"/>
          <w:highlight w:val="none"/>
          <w:lang w:eastAsia="zh-CN"/>
        </w:rPr>
        <w:t>及指导服务，帮助创新主体进行专利盘活及专利产业化。同时</w:t>
      </w:r>
      <w:r>
        <w:rPr>
          <w:rFonts w:hint="eastAsia" w:ascii="仿宋_GB2312" w:hAnsi="华文中宋" w:eastAsia="仿宋_GB2312" w:cs="黑体"/>
          <w:bCs/>
          <w:sz w:val="32"/>
          <w:szCs w:val="32"/>
          <w:highlight w:val="none"/>
        </w:rPr>
        <w:t>加强国际知识产权转化政策研究，结合深圳产业发展实际给出政策建议，促进知识产权跨境转让。</w:t>
      </w:r>
    </w:p>
    <w:p>
      <w:pPr>
        <w:numPr>
          <w:ilvl w:val="0"/>
          <w:numId w:val="3"/>
        </w:numPr>
        <w:snapToGrid w:val="0"/>
        <w:spacing w:line="560" w:lineRule="exact"/>
        <w:ind w:firstLine="640" w:firstLineChars="200"/>
        <w:rPr>
          <w:rFonts w:hint="eastAsia" w:ascii="仿宋_GB2312" w:hAnsi="华文中宋" w:eastAsia="仿宋_GB2312" w:cs="黑体"/>
          <w:bCs/>
          <w:sz w:val="32"/>
          <w:szCs w:val="32"/>
          <w:highlight w:val="none"/>
          <w:lang w:eastAsia="zh-CN"/>
        </w:rPr>
      </w:pPr>
      <w:r>
        <w:rPr>
          <w:rFonts w:hint="eastAsia" w:ascii="仿宋_GB2312" w:hAnsi="华文中宋" w:eastAsia="仿宋_GB2312" w:cs="黑体"/>
          <w:bCs/>
          <w:color w:val="auto"/>
          <w:sz w:val="32"/>
          <w:szCs w:val="32"/>
          <w:highlight w:val="none"/>
        </w:rPr>
        <w:t>深圳市知识产权公共服务</w:t>
      </w:r>
      <w:r>
        <w:rPr>
          <w:rFonts w:hint="default" w:ascii="仿宋_GB2312" w:hAnsi="华文中宋" w:eastAsia="仿宋_GB2312" w:cs="黑体"/>
          <w:bCs/>
          <w:color w:val="auto"/>
          <w:sz w:val="32"/>
          <w:szCs w:val="32"/>
          <w:highlight w:val="none"/>
        </w:rPr>
        <w:t>质量提升</w:t>
      </w:r>
      <w:r>
        <w:rPr>
          <w:rFonts w:hint="eastAsia" w:ascii="仿宋_GB2312" w:hAnsi="华文中宋" w:eastAsia="仿宋_GB2312" w:cs="黑体"/>
          <w:bCs/>
          <w:color w:val="auto"/>
          <w:sz w:val="32"/>
          <w:szCs w:val="32"/>
          <w:highlight w:val="none"/>
        </w:rPr>
        <w:t>研究及辅导支撑项目</w:t>
      </w:r>
      <w:r>
        <w:rPr>
          <w:rFonts w:hint="eastAsia" w:ascii="仿宋_GB2312" w:hAnsi="华文中宋" w:eastAsia="仿宋_GB2312" w:cs="黑体"/>
          <w:bCs/>
          <w:color w:val="auto"/>
          <w:sz w:val="32"/>
          <w:szCs w:val="32"/>
          <w:highlight w:val="none"/>
          <w:lang w:eastAsia="zh-CN"/>
        </w:rPr>
        <w:t>。</w:t>
      </w:r>
      <w:r>
        <w:rPr>
          <w:rFonts w:hint="eastAsia" w:ascii="仿宋_GB2312" w:hAnsi="华文中宋" w:eastAsia="仿宋_GB2312" w:cs="黑体"/>
          <w:bCs/>
          <w:color w:val="auto"/>
          <w:sz w:val="32"/>
          <w:szCs w:val="32"/>
          <w:highlight w:val="none"/>
        </w:rPr>
        <w:t>根据</w:t>
      </w:r>
      <w:r>
        <w:rPr>
          <w:rFonts w:hint="eastAsia" w:ascii="仿宋_GB2312" w:hAnsi="华文中宋" w:eastAsia="仿宋_GB2312" w:cs="黑体"/>
          <w:bCs/>
          <w:sz w:val="32"/>
          <w:szCs w:val="32"/>
          <w:highlight w:val="none"/>
        </w:rPr>
        <w:t>《知识产权强国建设纲要（2021－2035年）》及国家知识产权局《知识产权公共服务普惠工程实施方案（2023—2025年）》的有关要求，开展我市知识产权公共服务标准化管理体系研究，提出一套可用于知识产权公共服务网点认定、管理、评价等工作的规范化制度</w:t>
      </w:r>
      <w:r>
        <w:rPr>
          <w:rFonts w:hint="eastAsia" w:ascii="仿宋_GB2312" w:hAnsi="华文中宋" w:eastAsia="仿宋_GB2312" w:cs="黑体"/>
          <w:bCs/>
          <w:sz w:val="32"/>
          <w:szCs w:val="32"/>
          <w:highlight w:val="none"/>
          <w:lang w:eastAsia="zh-CN"/>
        </w:rPr>
        <w:t>，</w:t>
      </w:r>
      <w:r>
        <w:rPr>
          <w:rFonts w:hint="eastAsia" w:ascii="仿宋_GB2312" w:hAnsi="华文中宋" w:eastAsia="仿宋_GB2312" w:cs="黑体"/>
          <w:bCs/>
          <w:sz w:val="32"/>
          <w:szCs w:val="32"/>
          <w:highlight w:val="none"/>
        </w:rPr>
        <w:t>指导我市知识产权</w:t>
      </w:r>
      <w:r>
        <w:rPr>
          <w:rFonts w:hint="eastAsia" w:ascii="仿宋_GB2312" w:hAnsi="华文中宋" w:eastAsia="仿宋_GB2312" w:cs="黑体"/>
          <w:bCs/>
          <w:sz w:val="32"/>
          <w:szCs w:val="32"/>
          <w:highlight w:val="none"/>
          <w:lang w:eastAsia="zh-CN"/>
        </w:rPr>
        <w:t>公共</w:t>
      </w:r>
      <w:r>
        <w:rPr>
          <w:rFonts w:hint="eastAsia" w:ascii="仿宋_GB2312" w:hAnsi="华文中宋" w:eastAsia="仿宋_GB2312" w:cs="黑体"/>
          <w:bCs/>
          <w:sz w:val="32"/>
          <w:szCs w:val="32"/>
          <w:highlight w:val="none"/>
        </w:rPr>
        <w:t>服务</w:t>
      </w:r>
      <w:r>
        <w:rPr>
          <w:rFonts w:hint="eastAsia" w:ascii="仿宋_GB2312" w:hAnsi="华文中宋" w:eastAsia="仿宋_GB2312" w:cs="黑体"/>
          <w:bCs/>
          <w:sz w:val="32"/>
          <w:szCs w:val="32"/>
          <w:highlight w:val="none"/>
          <w:lang w:eastAsia="zh-CN"/>
        </w:rPr>
        <w:t>网点</w:t>
      </w:r>
      <w:r>
        <w:rPr>
          <w:rFonts w:hint="eastAsia" w:ascii="仿宋_GB2312" w:hAnsi="华文中宋" w:eastAsia="仿宋_GB2312" w:cs="黑体"/>
          <w:bCs/>
          <w:sz w:val="32"/>
          <w:szCs w:val="32"/>
          <w:highlight w:val="none"/>
        </w:rPr>
        <w:t>扩宽服务领域、加强数据供给、提升服务质量。</w:t>
      </w:r>
      <w:r>
        <w:rPr>
          <w:rFonts w:hint="eastAsia" w:ascii="仿宋_GB2312" w:hAnsi="华文中宋" w:eastAsia="仿宋_GB2312" w:cs="黑体"/>
          <w:bCs/>
          <w:sz w:val="32"/>
          <w:szCs w:val="32"/>
          <w:highlight w:val="none"/>
          <w:lang w:eastAsia="zh-CN"/>
        </w:rPr>
        <w:t>指导各区加强知识产权公共服务节点建设，全面提升我市知识产权公共服务标准化、规范化、便利化水平。</w:t>
      </w:r>
    </w:p>
    <w:p>
      <w:pPr>
        <w:pStyle w:val="16"/>
        <w:numPr>
          <w:ilvl w:val="0"/>
          <w:numId w:val="2"/>
        </w:numPr>
        <w:snapToGrid w:val="0"/>
        <w:spacing w:line="560" w:lineRule="exact"/>
        <w:ind w:left="0" w:firstLine="643"/>
        <w:jc w:val="left"/>
        <w:rPr>
          <w:rFonts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项目要求</w:t>
      </w:r>
    </w:p>
    <w:p>
      <w:pPr>
        <w:snapToGrid w:val="0"/>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1.有关项目需严格按照上级工作部署、考核标准及进度安排等工作要求推进实施。</w:t>
      </w:r>
    </w:p>
    <w:p>
      <w:pPr>
        <w:snapToGrid w:val="0"/>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2.同一申请人可申报项目不超过1项。</w:t>
      </w:r>
    </w:p>
    <w:p>
      <w:pPr>
        <w:pStyle w:val="16"/>
        <w:numPr>
          <w:ilvl w:val="0"/>
          <w:numId w:val="1"/>
        </w:numPr>
        <w:snapToGrid w:val="0"/>
        <w:spacing w:line="560" w:lineRule="exact"/>
        <w:ind w:left="1361" w:firstLineChars="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申请材料</w:t>
      </w:r>
    </w:p>
    <w:p>
      <w:pPr>
        <w:pStyle w:val="3"/>
        <w:numPr>
          <w:ilvl w:val="0"/>
          <w:numId w:val="0"/>
        </w:numPr>
        <w:snapToGrid w:val="0"/>
        <w:spacing w:before="0" w:beforeAutospacing="0" w:after="0" w:afterAutospacing="0" w:line="560" w:lineRule="exact"/>
        <w:ind w:left="630" w:leftChars="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申请表</w:t>
      </w:r>
    </w:p>
    <w:p>
      <w:pPr>
        <w:snapToGrid w:val="0"/>
        <w:spacing w:line="560" w:lineRule="exact"/>
        <w:ind w:firstLine="640" w:firstLineChars="200"/>
        <w:jc w:val="left"/>
        <w:rPr>
          <w:rFonts w:hint="default" w:ascii="仿宋_GB2312" w:eastAsia="仿宋_GB2312"/>
          <w:color w:val="auto"/>
          <w:sz w:val="32"/>
          <w:szCs w:val="32"/>
          <w:highlight w:val="none"/>
        </w:rPr>
      </w:pPr>
      <w:r>
        <w:rPr>
          <w:rFonts w:hint="eastAsia" w:ascii="仿宋_GB2312" w:eastAsia="仿宋_GB2312"/>
          <w:sz w:val="32"/>
          <w:szCs w:val="32"/>
        </w:rPr>
        <w:t>在申报系统上在线填写项目申报信息。</w:t>
      </w:r>
    </w:p>
    <w:p>
      <w:pPr>
        <w:numPr>
          <w:ilvl w:val="0"/>
          <w:numId w:val="0"/>
        </w:numPr>
        <w:snapToGrid w:val="0"/>
        <w:spacing w:line="560" w:lineRule="exact"/>
        <w:ind w:left="17" w:leftChars="8" w:firstLine="623" w:firstLineChars="194"/>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（二）具有从事知识产权重大专项的专业人才和团队，以及保障实施重大专项任务的其他必要条件的相关材料</w:t>
      </w:r>
    </w:p>
    <w:p>
      <w:pPr>
        <w:pStyle w:val="16"/>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highlight w:val="yellow"/>
        </w:rPr>
      </w:pPr>
      <w:r>
        <w:rPr>
          <w:rFonts w:hint="eastAsia" w:ascii="仿宋_GB2312" w:eastAsia="仿宋_GB2312"/>
          <w:sz w:val="32"/>
          <w:szCs w:val="32"/>
          <w:lang w:val="en-US" w:eastAsia="zh-CN"/>
        </w:rPr>
        <w:t>提交从事</w:t>
      </w:r>
      <w:r>
        <w:rPr>
          <w:rFonts w:hint="eastAsia" w:ascii="仿宋_GB2312" w:eastAsia="仿宋_GB2312"/>
          <w:sz w:val="32"/>
          <w:szCs w:val="32"/>
        </w:rPr>
        <w:t>知识产权</w:t>
      </w:r>
      <w:r>
        <w:rPr>
          <w:rFonts w:hint="eastAsia" w:ascii="仿宋_GB2312" w:eastAsia="仿宋_GB2312"/>
          <w:sz w:val="32"/>
          <w:szCs w:val="32"/>
          <w:lang w:eastAsia="zh-CN"/>
        </w:rPr>
        <w:t>重大专项</w:t>
      </w:r>
      <w:r>
        <w:rPr>
          <w:rFonts w:hint="eastAsia" w:ascii="仿宋_GB2312" w:eastAsia="仿宋_GB2312"/>
          <w:sz w:val="32"/>
          <w:szCs w:val="32"/>
        </w:rPr>
        <w:t>工作</w:t>
      </w:r>
      <w:r>
        <w:rPr>
          <w:rFonts w:hint="eastAsia" w:ascii="仿宋_GB2312" w:eastAsia="仿宋_GB2312"/>
          <w:sz w:val="32"/>
          <w:szCs w:val="32"/>
          <w:lang w:eastAsia="zh-CN"/>
        </w:rPr>
        <w:t>的团队</w:t>
      </w:r>
      <w:r>
        <w:rPr>
          <w:rFonts w:hint="eastAsia" w:ascii="仿宋_GB2312" w:eastAsia="仿宋_GB2312"/>
          <w:sz w:val="32"/>
          <w:szCs w:val="32"/>
        </w:rPr>
        <w:t>人员</w:t>
      </w:r>
      <w:r>
        <w:rPr>
          <w:rFonts w:hint="eastAsia" w:ascii="仿宋_GB2312" w:eastAsia="仿宋_GB2312"/>
          <w:sz w:val="32"/>
          <w:szCs w:val="32"/>
          <w:lang w:eastAsia="zh-CN"/>
        </w:rPr>
        <w:t>名单（系统模板，需注明项目联系人或项目负责人）及可证明</w:t>
      </w:r>
      <w:r>
        <w:rPr>
          <w:rFonts w:hint="eastAsia" w:ascii="仿宋_GB2312" w:eastAsia="仿宋_GB2312"/>
          <w:sz w:val="32"/>
          <w:szCs w:val="32"/>
        </w:rPr>
        <w:t>人员</w:t>
      </w:r>
      <w:r>
        <w:rPr>
          <w:rFonts w:hint="eastAsia" w:ascii="仿宋_GB2312" w:eastAsia="仿宋_GB2312"/>
          <w:sz w:val="32"/>
          <w:szCs w:val="32"/>
          <w:lang w:eastAsia="zh-CN"/>
        </w:rPr>
        <w:t>资质</w:t>
      </w:r>
      <w:r>
        <w:rPr>
          <w:rFonts w:hint="eastAsia" w:ascii="仿宋_GB2312" w:eastAsia="仿宋_GB2312"/>
          <w:sz w:val="32"/>
          <w:szCs w:val="32"/>
        </w:rPr>
        <w:t>能力</w:t>
      </w:r>
      <w:r>
        <w:rPr>
          <w:rFonts w:hint="eastAsia" w:ascii="仿宋_GB2312" w:eastAsia="仿宋_GB2312"/>
          <w:sz w:val="32"/>
          <w:szCs w:val="32"/>
          <w:lang w:eastAsia="zh-CN"/>
        </w:rPr>
        <w:t>的</w:t>
      </w:r>
      <w:r>
        <w:rPr>
          <w:rFonts w:hint="eastAsia" w:ascii="仿宋_GB2312" w:eastAsia="仿宋_GB2312"/>
          <w:sz w:val="32"/>
          <w:szCs w:val="32"/>
        </w:rPr>
        <w:t>相关材料</w:t>
      </w:r>
      <w:r>
        <w:rPr>
          <w:rFonts w:hint="eastAsia" w:ascii="仿宋_GB2312" w:eastAsia="仿宋_GB2312"/>
          <w:sz w:val="32"/>
          <w:szCs w:val="32"/>
          <w:lang w:eastAsia="zh-CN"/>
        </w:rPr>
        <w:t>，</w:t>
      </w:r>
      <w:r>
        <w:rPr>
          <w:rFonts w:hint="default" w:ascii="仿宋_GB2312" w:eastAsia="仿宋_GB2312" w:cs="Times New Roman"/>
          <w:b w:val="0"/>
          <w:kern w:val="2"/>
          <w:sz w:val="32"/>
          <w:szCs w:val="32"/>
          <w:highlight w:val="none"/>
          <w:lang w:eastAsia="zh-CN" w:bidi="ar-SA"/>
        </w:rPr>
        <w:t>包括</w:t>
      </w:r>
      <w:r>
        <w:rPr>
          <w:rFonts w:hint="eastAsia" w:ascii="仿宋_GB2312" w:eastAsia="仿宋_GB2312"/>
          <w:sz w:val="32"/>
          <w:szCs w:val="32"/>
        </w:rPr>
        <w:t>学历或学位证</w:t>
      </w:r>
      <w:r>
        <w:rPr>
          <w:rFonts w:hint="eastAsia" w:ascii="仿宋_GB2312" w:eastAsia="仿宋_GB2312"/>
          <w:sz w:val="32"/>
          <w:szCs w:val="32"/>
          <w:lang w:eastAsia="zh-CN"/>
        </w:rPr>
        <w:t>书</w:t>
      </w:r>
      <w:r>
        <w:rPr>
          <w:rFonts w:hint="eastAsia" w:ascii="仿宋_GB2312" w:eastAsia="仿宋_GB2312"/>
          <w:sz w:val="32"/>
          <w:szCs w:val="32"/>
        </w:rPr>
        <w:t>、职称</w:t>
      </w:r>
      <w:r>
        <w:rPr>
          <w:rFonts w:hint="eastAsia" w:ascii="仿宋_GB2312" w:eastAsia="仿宋_GB2312"/>
          <w:sz w:val="32"/>
          <w:szCs w:val="32"/>
          <w:lang w:eastAsia="zh-CN"/>
        </w:rPr>
        <w:t>证书</w:t>
      </w:r>
      <w:r>
        <w:rPr>
          <w:rFonts w:hint="eastAsia" w:ascii="仿宋_GB2312" w:eastAsia="仿宋_GB2312"/>
          <w:sz w:val="32"/>
          <w:szCs w:val="32"/>
        </w:rPr>
        <w:t>（如有）</w:t>
      </w:r>
      <w:r>
        <w:rPr>
          <w:rFonts w:hint="eastAsia" w:ascii="仿宋_GB2312" w:eastAsia="仿宋_GB2312"/>
          <w:sz w:val="32"/>
          <w:szCs w:val="32"/>
          <w:highlight w:val="none"/>
          <w:lang w:eastAsia="zh-CN"/>
        </w:rPr>
        <w:t>、</w:t>
      </w:r>
      <w:r>
        <w:rPr>
          <w:rFonts w:hint="eastAsia" w:ascii="仿宋_GB2312" w:eastAsia="仿宋_GB2312"/>
          <w:sz w:val="32"/>
          <w:szCs w:val="32"/>
        </w:rPr>
        <w:t>知识产权工作经历</w:t>
      </w:r>
      <w:r>
        <w:rPr>
          <w:rFonts w:hint="eastAsia" w:ascii="仿宋_GB2312" w:eastAsia="仿宋_GB2312"/>
          <w:sz w:val="32"/>
          <w:szCs w:val="32"/>
          <w:lang w:eastAsia="zh-CN"/>
        </w:rPr>
        <w:t>证明、相关</w:t>
      </w:r>
      <w:r>
        <w:rPr>
          <w:rFonts w:hint="eastAsia" w:ascii="仿宋_GB2312" w:eastAsia="仿宋_GB2312"/>
          <w:sz w:val="32"/>
          <w:szCs w:val="32"/>
        </w:rPr>
        <w:t>证书等</w:t>
      </w:r>
      <w:r>
        <w:rPr>
          <w:rFonts w:hint="eastAsia" w:ascii="仿宋_GB2312" w:eastAsia="仿宋_GB2312"/>
          <w:sz w:val="32"/>
          <w:szCs w:val="32"/>
          <w:lang w:eastAsia="zh-CN"/>
        </w:rPr>
        <w:t>。</w:t>
      </w:r>
    </w:p>
    <w:p>
      <w:pPr>
        <w:numPr>
          <w:ilvl w:val="0"/>
          <w:numId w:val="0"/>
        </w:numPr>
        <w:snapToGrid w:val="0"/>
        <w:spacing w:line="560" w:lineRule="exact"/>
        <w:ind w:left="17" w:leftChars="8" w:firstLine="623" w:firstLineChars="194"/>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（三）其他必要条件保障的相关材料</w:t>
      </w:r>
    </w:p>
    <w:p>
      <w:pPr>
        <w:pStyle w:val="16"/>
        <w:numPr>
          <w:ilvl w:val="0"/>
          <w:numId w:val="0"/>
        </w:numPr>
        <w:tabs>
          <w:tab w:val="left" w:pos="1134"/>
        </w:tabs>
        <w:snapToGrid w:val="0"/>
        <w:spacing w:line="560" w:lineRule="exact"/>
        <w:ind w:firstLine="642" w:firstLineChars="200"/>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b/>
          <w:bCs/>
          <w:sz w:val="32"/>
          <w:szCs w:val="32"/>
          <w:lang w:val="en-US" w:eastAsia="zh-CN"/>
        </w:rPr>
        <w:t>1.同类型项目经验及业绩情况</w:t>
      </w:r>
      <w:r>
        <w:rPr>
          <w:rFonts w:hint="eastAsia" w:ascii="仿宋_GB2312" w:eastAsia="仿宋_GB2312" w:cs="Times New Roman"/>
          <w:b/>
          <w:bCs/>
          <w:sz w:val="32"/>
          <w:szCs w:val="32"/>
          <w:lang w:val="en-US" w:eastAsia="zh-CN"/>
        </w:rPr>
        <w:t>佐证</w:t>
      </w:r>
      <w:r>
        <w:rPr>
          <w:rFonts w:hint="eastAsia" w:ascii="仿宋_GB2312" w:hAnsi="Times New Roman" w:eastAsia="仿宋_GB2312" w:cs="Times New Roman"/>
          <w:b/>
          <w:bCs/>
          <w:sz w:val="32"/>
          <w:szCs w:val="32"/>
          <w:lang w:val="en-US" w:eastAsia="zh-CN"/>
        </w:rPr>
        <w:t>材料：</w:t>
      </w:r>
    </w:p>
    <w:p>
      <w:pPr>
        <w:pStyle w:val="16"/>
        <w:numPr>
          <w:ilvl w:val="0"/>
          <w:numId w:val="0"/>
        </w:numPr>
        <w:tabs>
          <w:tab w:val="left" w:pos="1134"/>
        </w:tabs>
        <w:snapToGrid w:val="0"/>
        <w:spacing w:line="560" w:lineRule="exact"/>
        <w:ind w:firstLine="642" w:firstLineChars="200"/>
        <w:rPr>
          <w:rFonts w:hint="eastAsia" w:ascii="仿宋_GB2312" w:eastAsia="仿宋_GB2312"/>
          <w:sz w:val="32"/>
          <w:szCs w:val="32"/>
          <w:lang w:val="en-US" w:eastAsia="zh-CN"/>
        </w:rPr>
      </w:pPr>
      <w:r>
        <w:rPr>
          <w:rFonts w:hint="eastAsia" w:ascii="仿宋_GB2312" w:eastAsia="仿宋_GB2312" w:cs="Times New Roman"/>
          <w:b/>
          <w:bCs/>
          <w:sz w:val="32"/>
          <w:szCs w:val="32"/>
          <w:lang w:val="en-US" w:eastAsia="zh-CN"/>
        </w:rPr>
        <w:t>（1）</w:t>
      </w:r>
      <w:r>
        <w:rPr>
          <w:rFonts w:hint="eastAsia" w:ascii="仿宋_GB2312" w:eastAsia="仿宋_GB2312"/>
          <w:sz w:val="32"/>
          <w:szCs w:val="32"/>
          <w:lang w:val="en-US" w:eastAsia="zh-CN"/>
        </w:rPr>
        <w:t>申请人承接过国家、省、市知识产权领域相关项目的，需填写同类业绩清单并提供相关材料（立项佐证材料、项目合同、项目研究报告、结题报告、成果验收情况等）；</w:t>
      </w:r>
    </w:p>
    <w:p>
      <w:pPr>
        <w:pStyle w:val="16"/>
        <w:numPr>
          <w:ilvl w:val="0"/>
          <w:numId w:val="0"/>
        </w:numPr>
        <w:tabs>
          <w:tab w:val="left" w:pos="1134"/>
        </w:tabs>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（2）承接过的同类项目涉及知识产权数据分析、专利质量评估、专利转化运用、知识产权公共服务等与本年度知识产权重大专项主题清单相关的领域的，需在同类业绩清单中做备注。</w:t>
      </w:r>
    </w:p>
    <w:p>
      <w:pPr>
        <w:pStyle w:val="16"/>
        <w:numPr>
          <w:ilvl w:val="0"/>
          <w:numId w:val="0"/>
        </w:numPr>
        <w:tabs>
          <w:tab w:val="left" w:pos="1134"/>
        </w:tabs>
        <w:snapToGrid w:val="0"/>
        <w:spacing w:line="560" w:lineRule="exact"/>
        <w:ind w:firstLine="642" w:firstLineChars="200"/>
        <w:rPr>
          <w:rFonts w:hint="default" w:ascii="仿宋_GB2312" w:eastAsia="仿宋_GB2312" w:cs="Times New Roman"/>
          <w:b/>
          <w:bCs/>
          <w:color w:val="auto"/>
          <w:sz w:val="32"/>
          <w:szCs w:val="32"/>
          <w:lang w:eastAsia="zh-CN"/>
        </w:rPr>
      </w:pPr>
      <w:r>
        <w:rPr>
          <w:rFonts w:hint="eastAsia" w:ascii="仿宋_GB2312" w:hAnsi="Times New Roman" w:eastAsia="仿宋_GB2312" w:cs="Times New Roman"/>
          <w:b/>
          <w:bCs/>
          <w:color w:val="auto"/>
          <w:sz w:val="32"/>
          <w:szCs w:val="32"/>
          <w:lang w:val="en-US" w:eastAsia="zh-CN"/>
        </w:rPr>
        <w:t>2.</w:t>
      </w:r>
      <w:r>
        <w:rPr>
          <w:rFonts w:hint="default" w:ascii="仿宋_GB2312" w:eastAsia="仿宋_GB2312" w:cs="Times New Roman"/>
          <w:b/>
          <w:bCs/>
          <w:color w:val="auto"/>
          <w:sz w:val="32"/>
          <w:szCs w:val="32"/>
          <w:lang w:eastAsia="zh-CN"/>
        </w:rPr>
        <w:t>经费测算明细表</w:t>
      </w:r>
    </w:p>
    <w:p>
      <w:pPr>
        <w:pStyle w:val="16"/>
        <w:numPr>
          <w:ilvl w:val="0"/>
          <w:numId w:val="0"/>
        </w:numPr>
        <w:tabs>
          <w:tab w:val="left" w:pos="1134"/>
        </w:tabs>
        <w:snapToGrid w:val="0"/>
        <w:spacing w:line="560" w:lineRule="exact"/>
        <w:ind w:firstLine="640" w:firstLineChars="200"/>
        <w:rPr>
          <w:rFonts w:hint="default" w:ascii="仿宋_GB2312" w:eastAsia="仿宋_GB2312" w:cs="Times New Roman"/>
          <w:b w:val="0"/>
          <w:bCs w:val="0"/>
          <w:color w:val="auto"/>
          <w:sz w:val="32"/>
          <w:szCs w:val="32"/>
          <w:lang w:eastAsia="zh-CN"/>
        </w:rPr>
      </w:pPr>
      <w:r>
        <w:rPr>
          <w:rFonts w:hint="default" w:ascii="仿宋_GB2312" w:eastAsia="仿宋_GB2312" w:cs="Times New Roman"/>
          <w:b w:val="0"/>
          <w:bCs w:val="0"/>
          <w:color w:val="auto"/>
          <w:sz w:val="32"/>
          <w:szCs w:val="32"/>
          <w:lang w:eastAsia="zh-CN"/>
        </w:rPr>
        <w:t>需列明经费测算明细</w:t>
      </w:r>
    </w:p>
    <w:p>
      <w:pPr>
        <w:pStyle w:val="16"/>
        <w:numPr>
          <w:ilvl w:val="0"/>
          <w:numId w:val="0"/>
        </w:numPr>
        <w:tabs>
          <w:tab w:val="left" w:pos="1134"/>
        </w:tabs>
        <w:snapToGrid w:val="0"/>
        <w:spacing w:line="560" w:lineRule="exact"/>
        <w:ind w:firstLine="642" w:firstLineChars="200"/>
        <w:rPr>
          <w:rFonts w:hint="eastAsia" w:ascii="仿宋_GB2312" w:hAnsi="Times New Roman" w:eastAsia="仿宋_GB2312" w:cs="Times New Roman"/>
          <w:b/>
          <w:bCs/>
          <w:sz w:val="32"/>
          <w:szCs w:val="32"/>
        </w:rPr>
      </w:pPr>
      <w:r>
        <w:rPr>
          <w:rFonts w:hint="default" w:ascii="仿宋_GB2312" w:eastAsia="仿宋_GB2312" w:cs="Times New Roman"/>
          <w:b/>
          <w:bCs/>
          <w:color w:val="auto"/>
          <w:sz w:val="32"/>
          <w:szCs w:val="32"/>
          <w:lang w:eastAsia="zh-CN"/>
        </w:rPr>
        <w:t>3.</w:t>
      </w:r>
      <w:r>
        <w:rPr>
          <w:rFonts w:hint="eastAsia" w:ascii="仿宋_GB2312" w:eastAsia="仿宋_GB2312" w:cs="Times New Roman"/>
          <w:b/>
          <w:bCs/>
          <w:color w:val="auto"/>
          <w:sz w:val="32"/>
          <w:szCs w:val="32"/>
          <w:lang w:val="en-US" w:eastAsia="zh-CN"/>
        </w:rPr>
        <w:t>其他</w:t>
      </w:r>
      <w:r>
        <w:rPr>
          <w:rFonts w:hint="eastAsia" w:ascii="仿宋_GB2312" w:hAnsi="Times New Roman" w:eastAsia="仿宋_GB2312" w:cs="Times New Roman"/>
          <w:b/>
          <w:bCs/>
          <w:sz w:val="32"/>
          <w:szCs w:val="32"/>
        </w:rPr>
        <w:t>材料：</w:t>
      </w:r>
    </w:p>
    <w:p>
      <w:pPr>
        <w:pStyle w:val="16"/>
        <w:numPr>
          <w:ilvl w:val="0"/>
          <w:numId w:val="0"/>
        </w:numPr>
        <w:tabs>
          <w:tab w:val="left" w:pos="1134"/>
        </w:tabs>
        <w:snapToGrid w:val="0"/>
        <w:spacing w:line="560" w:lineRule="exact"/>
        <w:ind w:firstLine="642" w:firstLineChars="200"/>
        <w:rPr>
          <w:rFonts w:hint="eastAsia" w:ascii="仿宋_GB2312" w:eastAsia="仿宋_GB2312"/>
          <w:sz w:val="32"/>
          <w:szCs w:val="32"/>
          <w:lang w:eastAsia="zh-CN"/>
        </w:rPr>
      </w:pPr>
      <w:r>
        <w:rPr>
          <w:rFonts w:hint="eastAsia" w:ascii="仿宋_GB2312" w:eastAsia="仿宋_GB2312" w:cs="Times New Roman"/>
          <w:b/>
          <w:bCs/>
          <w:sz w:val="32"/>
          <w:szCs w:val="32"/>
          <w:lang w:eastAsia="zh-CN"/>
        </w:rPr>
        <w:t>（</w:t>
      </w:r>
      <w:r>
        <w:rPr>
          <w:rFonts w:hint="eastAsia" w:ascii="仿宋_GB2312" w:eastAsia="仿宋_GB2312" w:cs="Times New Roman"/>
          <w:b/>
          <w:bCs/>
          <w:sz w:val="32"/>
          <w:szCs w:val="32"/>
          <w:lang w:val="en-US" w:eastAsia="zh-CN"/>
        </w:rPr>
        <w:t>1</w:t>
      </w:r>
      <w:r>
        <w:rPr>
          <w:rFonts w:hint="eastAsia" w:ascii="仿宋_GB2312" w:eastAsia="仿宋_GB2312" w:cs="Times New Roman"/>
          <w:b/>
          <w:bCs/>
          <w:sz w:val="32"/>
          <w:szCs w:val="32"/>
          <w:lang w:eastAsia="zh-CN"/>
        </w:rPr>
        <w:t>）</w:t>
      </w:r>
      <w:r>
        <w:rPr>
          <w:rFonts w:hint="eastAsia" w:ascii="仿宋_GB2312" w:eastAsia="仿宋_GB2312"/>
          <w:sz w:val="32"/>
          <w:szCs w:val="32"/>
          <w:lang w:eastAsia="zh-CN"/>
        </w:rPr>
        <w:t>过往承接的知识产权领域有关项目成果被政府（区县级以上人民政府或行政机关）决策采纳的，需上传相关佐证材料。</w:t>
      </w:r>
    </w:p>
    <w:p>
      <w:pPr>
        <w:pStyle w:val="16"/>
        <w:numPr>
          <w:ilvl w:val="0"/>
          <w:numId w:val="0"/>
        </w:numPr>
        <w:tabs>
          <w:tab w:val="left" w:pos="1134"/>
        </w:tabs>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）具有开展项目的优势条件的，请提交相关佐证材料并做具体说明。具体要求如下：</w:t>
      </w:r>
    </w:p>
    <w:p>
      <w:pPr>
        <w:pStyle w:val="16"/>
        <w:numPr>
          <w:ilvl w:val="0"/>
          <w:numId w:val="0"/>
        </w:numPr>
        <w:tabs>
          <w:tab w:val="left" w:pos="1134"/>
        </w:tabs>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 1 \* GB3 \* MERGEFORMAT </w:instrText>
      </w:r>
      <w:r>
        <w:rPr>
          <w:rFonts w:hint="eastAsia" w:ascii="仿宋_GB2312" w:eastAsia="仿宋_GB2312"/>
          <w:sz w:val="32"/>
          <w:szCs w:val="32"/>
          <w:lang w:eastAsia="zh-CN"/>
        </w:rPr>
        <w:fldChar w:fldCharType="separate"/>
      </w:r>
      <w:r>
        <w:t>①</w:t>
      </w:r>
      <w:r>
        <w:rPr>
          <w:rFonts w:hint="eastAsia" w:ascii="仿宋_GB2312" w:eastAsia="仿宋_GB2312"/>
          <w:sz w:val="32"/>
          <w:szCs w:val="32"/>
          <w:lang w:eastAsia="zh-CN"/>
        </w:rPr>
        <w:fldChar w:fldCharType="end"/>
      </w:r>
      <w:r>
        <w:rPr>
          <w:rFonts w:hint="eastAsia" w:ascii="仿宋_GB2312" w:eastAsia="仿宋_GB2312"/>
          <w:sz w:val="32"/>
          <w:szCs w:val="32"/>
          <w:lang w:eastAsia="zh-CN"/>
        </w:rPr>
        <w:t>申报“20+8”重点产业集群专利申请质量评估数据服务项目的，具有专利质量评估所需的数据资源或成熟的评估模式的，需提供佐证材料及有关说明；</w:t>
      </w:r>
    </w:p>
    <w:p>
      <w:pPr>
        <w:pStyle w:val="16"/>
        <w:numPr>
          <w:ilvl w:val="0"/>
          <w:numId w:val="0"/>
        </w:numPr>
        <w:tabs>
          <w:tab w:val="left" w:pos="1134"/>
        </w:tabs>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 2 \* GB3 \* MERGEFORMAT </w:instrText>
      </w:r>
      <w:r>
        <w:rPr>
          <w:rFonts w:hint="eastAsia" w:ascii="仿宋_GB2312" w:eastAsia="仿宋_GB2312"/>
          <w:sz w:val="32"/>
          <w:szCs w:val="32"/>
          <w:lang w:eastAsia="zh-CN"/>
        </w:rPr>
        <w:fldChar w:fldCharType="separate"/>
      </w:r>
      <w:r>
        <w:t>②</w:t>
      </w:r>
      <w:r>
        <w:rPr>
          <w:rFonts w:hint="eastAsia" w:ascii="仿宋_GB2312" w:eastAsia="仿宋_GB2312"/>
          <w:sz w:val="32"/>
          <w:szCs w:val="32"/>
          <w:lang w:eastAsia="zh-CN"/>
        </w:rPr>
        <w:fldChar w:fldCharType="end"/>
      </w:r>
      <w:r>
        <w:rPr>
          <w:rFonts w:hint="eastAsia" w:ascii="仿宋_GB2312" w:eastAsia="仿宋_GB2312"/>
          <w:sz w:val="32"/>
          <w:szCs w:val="32"/>
          <w:lang w:eastAsia="zh-CN"/>
        </w:rPr>
        <w:t>申报专利转化供需对接指导及相关政策研究项目的，对我市高校院所、科研机构的存量专利或重点产业的专利需求做过梳理分析或者专利导航的，需提供佐证材料及有关说明；</w:t>
      </w:r>
    </w:p>
    <w:p>
      <w:pPr>
        <w:pStyle w:val="16"/>
        <w:numPr>
          <w:ilvl w:val="0"/>
          <w:numId w:val="0"/>
        </w:numPr>
        <w:tabs>
          <w:tab w:val="left" w:pos="1134"/>
        </w:tabs>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fldChar w:fldCharType="begin"/>
      </w:r>
      <w:r>
        <w:rPr>
          <w:rFonts w:hint="eastAsia" w:ascii="仿宋_GB2312" w:eastAsia="仿宋_GB2312"/>
          <w:sz w:val="32"/>
          <w:szCs w:val="32"/>
          <w:lang w:eastAsia="zh-CN"/>
        </w:rPr>
        <w:instrText xml:space="preserve"> = 3 \* GB3 \* MERGEFORMAT </w:instrText>
      </w:r>
      <w:r>
        <w:rPr>
          <w:rFonts w:hint="eastAsia" w:ascii="仿宋_GB2312" w:eastAsia="仿宋_GB2312"/>
          <w:sz w:val="32"/>
          <w:szCs w:val="32"/>
          <w:lang w:eastAsia="zh-CN"/>
        </w:rPr>
        <w:fldChar w:fldCharType="separate"/>
      </w:r>
      <w:r>
        <w:t>③</w:t>
      </w:r>
      <w:r>
        <w:rPr>
          <w:rFonts w:hint="eastAsia" w:ascii="仿宋_GB2312" w:eastAsia="仿宋_GB2312"/>
          <w:sz w:val="32"/>
          <w:szCs w:val="32"/>
          <w:lang w:eastAsia="zh-CN"/>
        </w:rPr>
        <w:fldChar w:fldCharType="end"/>
      </w:r>
      <w:r>
        <w:rPr>
          <w:rFonts w:hint="eastAsia" w:ascii="仿宋_GB2312" w:eastAsia="仿宋_GB2312"/>
          <w:sz w:val="32"/>
          <w:szCs w:val="32"/>
          <w:lang w:eastAsia="zh-CN"/>
        </w:rPr>
        <w:t>申报深圳市知识产权公共服务质量提升研究及辅导支撑项目的，面向我市创新主体提供过知识产权公共服务，或者指导过我市知识产权服务机构网点/节点建设，或做过相关研究有一定理论基础的，需提供佐证材料及有关说明。</w:t>
      </w:r>
    </w:p>
    <w:p>
      <w:pPr>
        <w:pStyle w:val="16"/>
        <w:keepNext w:val="0"/>
        <w:keepLines w:val="0"/>
        <w:pageBreakBefore w:val="0"/>
        <w:widowControl w:val="0"/>
        <w:numPr>
          <w:ilvl w:val="0"/>
          <w:numId w:val="0"/>
        </w:numPr>
        <w:tabs>
          <w:tab w:val="left" w:pos="1134"/>
        </w:tabs>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bCs/>
          <w:sz w:val="32"/>
          <w:szCs w:val="32"/>
          <w:highlight w:val="yellow"/>
          <w:lang w:eastAsia="zh-CN"/>
        </w:rPr>
      </w:pPr>
      <w:r>
        <w:rPr>
          <w:rFonts w:hint="eastAsia" w:ascii="仿宋_GB2312" w:eastAsia="仿宋_GB2312"/>
          <w:sz w:val="32"/>
          <w:szCs w:val="32"/>
        </w:rPr>
        <w:t>以上第（一）至第（</w:t>
      </w:r>
      <w:r>
        <w:rPr>
          <w:rFonts w:hint="eastAsia" w:ascii="仿宋_GB2312" w:eastAsia="仿宋_GB2312"/>
          <w:sz w:val="32"/>
          <w:szCs w:val="32"/>
          <w:lang w:eastAsia="zh-CN"/>
        </w:rPr>
        <w:t>三</w:t>
      </w:r>
      <w:r>
        <w:rPr>
          <w:rFonts w:hint="eastAsia" w:ascii="仿宋_GB2312" w:eastAsia="仿宋_GB2312"/>
          <w:sz w:val="32"/>
          <w:szCs w:val="32"/>
        </w:rPr>
        <w:t>）项全部申请材料应当确保页面文字、公章、签名等实质性内容清晰可辨，各页面主要内容均为正向，不可横置或倒置。</w:t>
      </w:r>
    </w:p>
    <w:p>
      <w:pPr>
        <w:pStyle w:val="16"/>
        <w:numPr>
          <w:ilvl w:val="0"/>
          <w:numId w:val="1"/>
        </w:numPr>
        <w:snapToGrid w:val="0"/>
        <w:spacing w:line="560" w:lineRule="exact"/>
        <w:ind w:left="1361"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受理事宜</w:t>
      </w:r>
    </w:p>
    <w:p>
      <w:pPr>
        <w:snapToGrid w:val="0"/>
        <w:spacing w:line="560" w:lineRule="exact"/>
        <w:ind w:firstLine="642" w:firstLineChars="200"/>
        <w:jc w:val="left"/>
        <w:rPr>
          <w:rFonts w:ascii="仿宋_GB2312" w:eastAsia="仿宋_GB2312"/>
          <w:sz w:val="32"/>
          <w:szCs w:val="32"/>
        </w:rPr>
      </w:pPr>
      <w:r>
        <w:rPr>
          <w:rFonts w:hint="eastAsia" w:ascii="楷体_GB2312" w:hAnsi="楷体_GB2312" w:eastAsia="楷体_GB2312" w:cs="楷体_GB2312"/>
          <w:b/>
          <w:bCs/>
          <w:sz w:val="32"/>
          <w:szCs w:val="32"/>
        </w:rPr>
        <w:t>（一）受理机关</w:t>
      </w:r>
      <w:r>
        <w:rPr>
          <w:rFonts w:hint="eastAsia" w:ascii="仿宋_GB2312" w:hAnsi="仿宋_GB2312" w:eastAsia="仿宋_GB2312" w:cs="仿宋_GB2312"/>
          <w:sz w:val="32"/>
          <w:szCs w:val="32"/>
        </w:rPr>
        <w:t>：</w:t>
      </w:r>
      <w:r>
        <w:rPr>
          <w:rFonts w:hint="eastAsia" w:ascii="仿宋_GB2312" w:eastAsia="仿宋_GB2312"/>
          <w:sz w:val="32"/>
          <w:szCs w:val="32"/>
        </w:rPr>
        <w:t>深圳市市场监督管理局。</w:t>
      </w:r>
    </w:p>
    <w:p>
      <w:pPr>
        <w:snapToGrid w:val="0"/>
        <w:spacing w:line="560" w:lineRule="exact"/>
        <w:ind w:firstLine="642" w:firstLineChars="200"/>
        <w:jc w:val="left"/>
        <w:rPr>
          <w:rFonts w:ascii="仿宋_GB2312" w:eastAsia="仿宋_GB2312"/>
          <w:color w:val="auto"/>
          <w:sz w:val="32"/>
          <w:szCs w:val="32"/>
          <w:highlight w:val="yellow"/>
        </w:rPr>
      </w:pPr>
      <w:r>
        <w:rPr>
          <w:rFonts w:hint="eastAsia" w:ascii="楷体_GB2312" w:hAnsi="楷体_GB2312" w:eastAsia="楷体_GB2312" w:cs="楷体_GB2312"/>
          <w:b/>
          <w:bCs/>
          <w:sz w:val="32"/>
          <w:szCs w:val="32"/>
        </w:rPr>
        <w:t>（二）受理时间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default"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日9:00至202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日18:00</w:t>
      </w:r>
      <w:r>
        <w:rPr>
          <w:rFonts w:hint="eastAsia" w:ascii="仿宋_GB2312" w:eastAsia="仿宋_GB2312"/>
          <w:color w:val="auto"/>
          <w:sz w:val="32"/>
          <w:szCs w:val="32"/>
          <w:highlight w:val="none"/>
        </w:rPr>
        <w:t>。</w:t>
      </w:r>
    </w:p>
    <w:p>
      <w:pPr>
        <w:snapToGrid w:val="0"/>
        <w:spacing w:line="560" w:lineRule="exact"/>
        <w:ind w:firstLine="642"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（三）申报方式</w:t>
      </w:r>
    </w:p>
    <w:p>
      <w:pPr>
        <w:snapToGrid w:val="0"/>
        <w:spacing w:line="560" w:lineRule="exact"/>
        <w:ind w:firstLine="640" w:firstLineChars="200"/>
        <w:jc w:val="both"/>
        <w:rPr>
          <w:rFonts w:hint="eastAsia" w:ascii="仿宋_GB2312" w:hAnsi="仿宋_GB2312" w:eastAsia="仿宋_GB2312" w:cs="仿宋_GB2312"/>
          <w:sz w:val="32"/>
          <w:szCs w:val="32"/>
        </w:rPr>
      </w:pPr>
      <w:r>
        <w:rPr>
          <w:rFonts w:hint="eastAsia" w:ascii="仿宋_GB2312" w:eastAsia="仿宋_GB2312"/>
          <w:sz w:val="32"/>
          <w:szCs w:val="32"/>
        </w:rPr>
        <w:t>本</w:t>
      </w:r>
      <w:r>
        <w:rPr>
          <w:rFonts w:hint="eastAsia" w:ascii="仿宋_GB2312" w:eastAsia="仿宋_GB2312"/>
          <w:sz w:val="32"/>
          <w:szCs w:val="32"/>
          <w:lang w:eastAsia="zh-CN"/>
        </w:rPr>
        <w:t>项目</w:t>
      </w:r>
      <w:r>
        <w:rPr>
          <w:rFonts w:hint="eastAsia" w:ascii="仿宋_GB2312" w:eastAsia="仿宋_GB2312"/>
          <w:sz w:val="32"/>
          <w:szCs w:val="32"/>
        </w:rPr>
        <w:t>实行网上在线申报，申报</w:t>
      </w:r>
      <w:r>
        <w:rPr>
          <w:rFonts w:hint="eastAsia" w:ascii="仿宋_GB2312" w:eastAsia="仿宋_GB2312"/>
          <w:sz w:val="32"/>
          <w:szCs w:val="32"/>
          <w:lang w:eastAsia="zh-CN"/>
        </w:rPr>
        <w:t>人需进入深圳市财政专项资金统一管理平台</w:t>
      </w:r>
      <w:r>
        <w:rPr>
          <w:rFonts w:hint="eastAsia" w:ascii="仿宋_GB2312" w:eastAsia="仿宋_GB2312"/>
          <w:kern w:val="0"/>
          <w:sz w:val="32"/>
          <w:szCs w:val="32"/>
        </w:rPr>
        <w:t>（https://cqt.szfb.sz.gov.cn/#/home）。该平台已与广东政务服务网信息进行对接，申请人可使用广东政务服务网账户密码进行登录，在搜索栏搜索本项目名称，选中后进入申报页面。将本指南要求的全部申请材料按照申报系统中的有关提示要求分别上传。</w:t>
      </w:r>
    </w:p>
    <w:p>
      <w:pPr>
        <w:snapToGri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申报系统技术支持电话：0755-27038037。申报业务咨询电话：0755-83070752</w:t>
      </w:r>
      <w:r>
        <w:rPr>
          <w:rFonts w:hint="eastAsia" w:ascii="仿宋_GB2312" w:hAnsi="仿宋_GB2312" w:eastAsia="仿宋_GB2312" w:cs="仿宋_GB2312"/>
          <w:sz w:val="32"/>
          <w:szCs w:val="32"/>
        </w:rPr>
        <w:t>。</w:t>
      </w:r>
      <w:r>
        <w:rPr>
          <w:rFonts w:hint="eastAsia" w:ascii="仿宋_GB2312" w:eastAsia="仿宋_GB2312"/>
          <w:sz w:val="32"/>
          <w:szCs w:val="32"/>
        </w:rPr>
        <w:t>办公时间：星期一至星期五（法定节假日除外）上午09:00-12:00，下午14:00-18:00。</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决定机关</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深圳市市场监督管理局</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办理程序与注意事项</w:t>
      </w:r>
    </w:p>
    <w:p>
      <w:pPr>
        <w:snapToGrid w:val="0"/>
        <w:spacing w:line="560" w:lineRule="exact"/>
        <w:ind w:firstLine="642" w:firstLineChars="20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（一）办理程序</w:t>
      </w:r>
    </w:p>
    <w:p>
      <w:pPr>
        <w:numPr>
          <w:ilvl w:val="0"/>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w:t>
      </w:r>
      <w:r>
        <w:rPr>
          <w:rFonts w:hint="default" w:ascii="仿宋_GB2312" w:eastAsia="仿宋_GB2312"/>
          <w:sz w:val="32"/>
        </w:rPr>
        <w:t>会同</w:t>
      </w:r>
      <w:r>
        <w:rPr>
          <w:rFonts w:hint="eastAsia" w:ascii="仿宋_GB2312" w:eastAsia="仿宋_GB2312"/>
          <w:sz w:val="32"/>
        </w:rPr>
        <w:t>相关部门核对数据、核查诚信情况</w:t>
      </w:r>
      <w:r>
        <w:rPr>
          <w:rFonts w:hint="default" w:ascii="仿宋_GB2312" w:eastAsia="仿宋_GB2312"/>
          <w:sz w:val="32"/>
        </w:rPr>
        <w:t>和重复资助情况</w:t>
      </w:r>
      <w:r>
        <w:rPr>
          <w:rFonts w:hint="eastAsia" w:ascii="仿宋_GB2312" w:eastAsia="仿宋_GB2312"/>
          <w:sz w:val="32"/>
        </w:rPr>
        <w:t>——</w:t>
      </w:r>
      <w:r>
        <w:rPr>
          <w:rFonts w:hint="eastAsia" w:ascii="仿宋_GB2312" w:hAnsi="仿宋_GB2312" w:eastAsia="仿宋_GB2312" w:cs="仿宋_GB2312"/>
          <w:sz w:val="32"/>
          <w:szCs w:val="32"/>
        </w:rPr>
        <w:t>集体研究决策</w:t>
      </w:r>
      <w:r>
        <w:rPr>
          <w:rFonts w:hint="eastAsia" w:ascii="仿宋_GB2312" w:eastAsia="仿宋_GB2312"/>
          <w:sz w:val="32"/>
        </w:rPr>
        <w:t>——公示（</w:t>
      </w:r>
      <w:r>
        <w:rPr>
          <w:rFonts w:ascii="仿宋_GB2312" w:eastAsia="仿宋_GB2312"/>
          <w:sz w:val="32"/>
        </w:rPr>
        <w:t>5个工作日）</w:t>
      </w:r>
      <w:r>
        <w:rPr>
          <w:rFonts w:hint="eastAsia" w:ascii="仿宋_GB2312" w:eastAsia="仿宋_GB2312"/>
          <w:sz w:val="32"/>
        </w:rPr>
        <w:t>——</w:t>
      </w:r>
      <w:r>
        <w:rPr>
          <w:rFonts w:hint="eastAsia" w:ascii="仿宋_GB2312" w:eastAsia="仿宋_GB2312"/>
          <w:sz w:val="32"/>
          <w:lang w:eastAsia="zh-CN"/>
        </w:rPr>
        <w:t>合同签订（事后项目无此环节）</w:t>
      </w:r>
      <w:r>
        <w:rPr>
          <w:rFonts w:hint="eastAsia" w:ascii="仿宋_GB2312" w:eastAsia="仿宋_GB2312"/>
          <w:sz w:val="32"/>
        </w:rPr>
        <w:t>——财政资金预算申请——</w:t>
      </w:r>
      <w:r>
        <w:rPr>
          <w:rFonts w:hint="eastAsia" w:ascii="仿宋_GB2312" w:eastAsia="仿宋_GB2312"/>
          <w:sz w:val="32"/>
          <w:lang w:eastAsia="zh-CN"/>
        </w:rPr>
        <w:t>项目验收（事后项目无此环节）</w:t>
      </w:r>
      <w:r>
        <w:rPr>
          <w:rFonts w:hint="eastAsia" w:ascii="仿宋_GB2312" w:eastAsia="仿宋_GB2312"/>
          <w:sz w:val="32"/>
        </w:rPr>
        <w:t>——</w:t>
      </w:r>
      <w:r>
        <w:rPr>
          <w:rFonts w:hint="eastAsia" w:ascii="仿宋_GB2312" w:eastAsia="仿宋_GB2312"/>
          <w:sz w:val="32"/>
          <w:lang w:eastAsia="zh-CN"/>
        </w:rPr>
        <w:t>审计（</w:t>
      </w:r>
      <w:r>
        <w:rPr>
          <w:rFonts w:hint="eastAsia" w:ascii="仿宋_GB2312" w:eastAsia="仿宋_GB2312"/>
          <w:sz w:val="32"/>
          <w:highlight w:val="none"/>
          <w:lang w:eastAsia="zh-CN"/>
        </w:rPr>
        <w:t>事后项目审计环节在预算申请前进行</w:t>
      </w:r>
      <w:r>
        <w:rPr>
          <w:rFonts w:hint="eastAsia" w:ascii="仿宋_GB2312" w:eastAsia="仿宋_GB2312"/>
          <w:sz w:val="32"/>
          <w:lang w:eastAsia="zh-CN"/>
        </w:rPr>
        <w:t>）——</w:t>
      </w:r>
      <w:r>
        <w:rPr>
          <w:rFonts w:hint="eastAsia" w:ascii="仿宋_GB2312" w:eastAsia="仿宋_GB2312"/>
          <w:sz w:val="32"/>
        </w:rPr>
        <w:t>资金拨付。</w:t>
      </w:r>
    </w:p>
    <w:p>
      <w:pPr>
        <w:snapToGrid w:val="0"/>
        <w:spacing w:line="560" w:lineRule="exact"/>
        <w:ind w:firstLine="642" w:firstLineChars="2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（二）注意事项</w:t>
      </w:r>
    </w:p>
    <w:p>
      <w:pPr>
        <w:pStyle w:val="3"/>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w:t>
      </w:r>
      <w:r>
        <w:rPr>
          <w:rFonts w:hint="eastAsia" w:ascii="仿宋_GB2312" w:eastAsia="仿宋_GB2312"/>
          <w:b/>
          <w:bCs w:val="0"/>
          <w:sz w:val="32"/>
          <w:szCs w:val="32"/>
          <w:highlight w:val="none"/>
        </w:rPr>
        <w:t>申请人</w:t>
      </w:r>
      <w:r>
        <w:rPr>
          <w:rFonts w:hint="eastAsia" w:ascii="仿宋_GB2312" w:eastAsia="仿宋_GB2312"/>
          <w:b/>
          <w:bCs w:val="0"/>
          <w:sz w:val="32"/>
          <w:szCs w:val="32"/>
          <w:highlight w:val="none"/>
          <w:lang w:eastAsia="zh-CN"/>
        </w:rPr>
        <w:t>应为正常经营状态，并通过上述申报平台自行申报。</w:t>
      </w:r>
      <w:r>
        <w:rPr>
          <w:rFonts w:hint="eastAsia" w:ascii="仿宋_GB2312" w:eastAsia="仿宋_GB2312"/>
          <w:b w:val="0"/>
          <w:bCs/>
          <w:sz w:val="32"/>
          <w:szCs w:val="32"/>
          <w:lang w:eastAsia="zh-CN"/>
        </w:rPr>
        <w:t>申请人的</w:t>
      </w:r>
      <w:r>
        <w:rPr>
          <w:rFonts w:hint="eastAsia" w:ascii="仿宋_GB2312" w:eastAsia="仿宋_GB2312"/>
          <w:b w:val="0"/>
          <w:bCs/>
          <w:sz w:val="32"/>
          <w:szCs w:val="32"/>
        </w:rPr>
        <w:t>广东政务服务网账户等级须达到五级（原L3级别）核验方可进行申报。</w:t>
      </w:r>
      <w:r>
        <w:rPr>
          <w:rFonts w:hint="eastAsia"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0"/>
          <w:numId w:val="0"/>
        </w:numPr>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b/>
          <w:sz w:val="32"/>
          <w:szCs w:val="32"/>
        </w:rPr>
        <w:t>．</w:t>
      </w:r>
      <w:r>
        <w:rPr>
          <w:rFonts w:hint="eastAsia" w:ascii="仿宋_GB2312" w:hAnsi="仿宋_GB2312" w:eastAsia="仿宋_GB2312" w:cs="仿宋_GB2312"/>
          <w:b w:val="0"/>
          <w:bCs/>
          <w:sz w:val="32"/>
          <w:szCs w:val="32"/>
        </w:rPr>
        <w:t>严格按照申报系统有关提示进行填报，</w:t>
      </w:r>
      <w:r>
        <w:rPr>
          <w:rFonts w:hint="eastAsia" w:ascii="仿宋_GB2312" w:eastAsia="仿宋_GB2312"/>
          <w:sz w:val="32"/>
          <w:szCs w:val="32"/>
          <w:lang w:eastAsia="zh-CN"/>
        </w:rPr>
        <w:t>深圳</w:t>
      </w:r>
      <w:r>
        <w:rPr>
          <w:rFonts w:hint="eastAsia" w:ascii="仿宋_GB2312" w:eastAsia="仿宋_GB2312"/>
          <w:sz w:val="32"/>
          <w:szCs w:val="32"/>
        </w:rPr>
        <w:t>市知识产权主管部门对申请材料进行受理和初审，申请材料不完善</w:t>
      </w:r>
      <w:r>
        <w:rPr>
          <w:rFonts w:hint="eastAsia" w:ascii="仿宋_GB2312" w:eastAsia="仿宋_GB2312"/>
          <w:sz w:val="32"/>
          <w:szCs w:val="32"/>
          <w:lang w:eastAsia="zh-CN"/>
        </w:rPr>
        <w:t>的</w:t>
      </w:r>
      <w:r>
        <w:rPr>
          <w:rFonts w:hint="eastAsia" w:ascii="仿宋_GB2312" w:eastAsia="仿宋_GB2312"/>
          <w:sz w:val="32"/>
          <w:szCs w:val="32"/>
        </w:rPr>
        <w:t>，限期予以补正；申请人应按要求进行补正，未按要求补正材料或补正材料未通过审核的，不予资助或奖励</w:t>
      </w:r>
      <w:r>
        <w:rPr>
          <w:rFonts w:ascii="仿宋_GB2312" w:hAnsi="仿宋_GB2312" w:eastAsia="仿宋_GB2312" w:cs="仿宋_GB2312"/>
          <w:sz w:val="32"/>
          <w:szCs w:val="32"/>
        </w:rPr>
        <w:t>。</w:t>
      </w:r>
    </w:p>
    <w:p>
      <w:pPr>
        <w:numPr>
          <w:ilvl w:val="0"/>
          <w:numId w:val="0"/>
        </w:numPr>
        <w:snapToGrid w:val="0"/>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3.</w:t>
      </w:r>
      <w:r>
        <w:rPr>
          <w:rFonts w:ascii="仿宋_GB2312" w:eastAsia="仿宋_GB2312"/>
          <w:sz w:val="32"/>
          <w:szCs w:val="32"/>
        </w:rPr>
        <w:t>申请人提交</w:t>
      </w:r>
      <w:r>
        <w:rPr>
          <w:rFonts w:hint="eastAsia" w:ascii="仿宋_GB2312" w:hAnsi="仿宋_GB2312" w:eastAsia="仿宋_GB2312" w:cs="仿宋_GB2312"/>
          <w:sz w:val="32"/>
          <w:szCs w:val="32"/>
        </w:rPr>
        <w:t>资助或奖励</w:t>
      </w:r>
      <w:r>
        <w:rPr>
          <w:rFonts w:ascii="仿宋_GB2312" w:eastAsia="仿宋_GB2312"/>
          <w:sz w:val="32"/>
          <w:szCs w:val="32"/>
        </w:rPr>
        <w:t>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0"/>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eastAsia="仿宋_GB2312"/>
          <w:sz w:val="32"/>
          <w:szCs w:val="32"/>
          <w:lang w:val="en-US" w:eastAsia="zh-CN"/>
        </w:rPr>
        <w:t>4.</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合规提示</w:t>
      </w:r>
    </w:p>
    <w:p>
      <w:pPr>
        <w:pStyle w:val="3"/>
        <w:numPr>
          <w:ilvl w:val="0"/>
          <w:numId w:val="4"/>
        </w:numPr>
        <w:snapToGrid w:val="0"/>
        <w:spacing w:before="0" w:beforeAutospacing="0" w:after="0" w:afterAutospacing="0" w:line="560" w:lineRule="exact"/>
        <w:ind w:firstLine="640" w:firstLineChars="200"/>
        <w:jc w:val="both"/>
        <w:rPr>
          <w:rFonts w:hint="default" w:ascii="仿宋_GB2312" w:eastAsia="仿宋_GB2312"/>
          <w:b w:val="0"/>
          <w:sz w:val="32"/>
          <w:szCs w:val="32"/>
          <w:highlight w:val="none"/>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七</w:t>
      </w:r>
      <w:r>
        <w:rPr>
          <w:rFonts w:ascii="仿宋_GB2312" w:eastAsia="仿宋_GB2312"/>
          <w:b w:val="0"/>
          <w:sz w:val="32"/>
          <w:szCs w:val="32"/>
          <w:highlight w:val="none"/>
        </w:rPr>
        <w:t>条规定：</w:t>
      </w:r>
      <w:r>
        <w:rPr>
          <w:rFonts w:hint="eastAsia" w:ascii="仿宋_GB2312" w:eastAsia="仿宋_GB2312"/>
          <w:b w:val="0"/>
          <w:sz w:val="32"/>
          <w:szCs w:val="32"/>
          <w:highlight w:val="none"/>
        </w:rPr>
        <w:t>申请人应对提交的申请材料真实性、合法性、有效性负责。申请人利用虚假材料或</w:t>
      </w:r>
      <w:r>
        <w:rPr>
          <w:rFonts w:hint="eastAsia" w:ascii="仿宋_GB2312" w:eastAsia="仿宋_GB2312"/>
          <w:b w:val="0"/>
          <w:sz w:val="32"/>
          <w:szCs w:val="32"/>
          <w:highlight w:val="none"/>
          <w:lang w:eastAsia="zh-CN"/>
        </w:rPr>
        <w:t>通过</w:t>
      </w:r>
      <w:r>
        <w:rPr>
          <w:rFonts w:hint="eastAsia" w:ascii="仿宋_GB2312" w:eastAsia="仿宋_GB2312"/>
          <w:b w:val="0"/>
          <w:sz w:val="32"/>
          <w:szCs w:val="32"/>
          <w:highlight w:val="none"/>
        </w:rPr>
        <w:t>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不正当行为骗取、套取、虚报、冒领、截留、挪用专项资金或者违反其</w:t>
      </w:r>
      <w:r>
        <w:rPr>
          <w:rFonts w:hint="eastAsia" w:ascii="仿宋_GB2312" w:eastAsia="仿宋_GB2312"/>
          <w:b w:val="0"/>
          <w:sz w:val="32"/>
          <w:szCs w:val="32"/>
          <w:highlight w:val="none"/>
          <w:lang w:eastAsia="zh-CN"/>
        </w:rPr>
        <w:t>他</w:t>
      </w:r>
      <w:r>
        <w:rPr>
          <w:rFonts w:hint="eastAsia" w:ascii="仿宋_GB2312" w:eastAsia="仿宋_GB2312"/>
          <w:b w:val="0"/>
          <w:sz w:val="32"/>
          <w:szCs w:val="32"/>
          <w:highlight w:val="none"/>
        </w:rPr>
        <w:t>财务纪律的，按照有关规定处理；情节严重的，依照国家相关法律、法规移交有关部门处理。</w:t>
      </w:r>
    </w:p>
    <w:p>
      <w:pPr>
        <w:pStyle w:val="3"/>
        <w:numPr>
          <w:ilvl w:val="0"/>
          <w:numId w:val="4"/>
        </w:numPr>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highlight w:val="none"/>
        </w:rPr>
        <w:t>《深圳市市场监督管理局知识产权领域专项资金操作规程》第</w:t>
      </w:r>
      <w:r>
        <w:rPr>
          <w:rFonts w:hint="eastAsia" w:ascii="仿宋_GB2312" w:eastAsia="仿宋_GB2312"/>
          <w:b w:val="0"/>
          <w:sz w:val="32"/>
          <w:szCs w:val="32"/>
          <w:highlight w:val="none"/>
          <w:lang w:eastAsia="zh-CN"/>
        </w:rPr>
        <w:t>三</w:t>
      </w:r>
      <w:r>
        <w:rPr>
          <w:rFonts w:ascii="仿宋_GB2312" w:eastAsia="仿宋_GB2312"/>
          <w:b w:val="0"/>
          <w:sz w:val="32"/>
          <w:szCs w:val="32"/>
          <w:highlight w:val="none"/>
        </w:rPr>
        <w:t>十</w:t>
      </w:r>
      <w:r>
        <w:rPr>
          <w:rFonts w:hint="eastAsia" w:ascii="仿宋_GB2312" w:eastAsia="仿宋_GB2312"/>
          <w:b w:val="0"/>
          <w:sz w:val="32"/>
          <w:szCs w:val="32"/>
          <w:highlight w:val="none"/>
          <w:lang w:eastAsia="zh-CN"/>
        </w:rPr>
        <w:t>八</w:t>
      </w:r>
      <w:r>
        <w:rPr>
          <w:rFonts w:ascii="仿宋_GB2312" w:eastAsia="仿宋_GB2312"/>
          <w:b w:val="0"/>
          <w:sz w:val="32"/>
          <w:szCs w:val="32"/>
          <w:highlight w:val="none"/>
        </w:rPr>
        <w:t>条规定：</w:t>
      </w:r>
      <w:r>
        <w:rPr>
          <w:rFonts w:hint="eastAsia" w:ascii="仿宋_GB2312" w:eastAsia="仿宋_GB2312"/>
          <w:b w:val="0"/>
          <w:sz w:val="32"/>
          <w:szCs w:val="32"/>
          <w:highlight w:val="none"/>
        </w:rPr>
        <w:t>受委托的第三方审计机构或专业机构在审计</w:t>
      </w:r>
      <w:r>
        <w:rPr>
          <w:rFonts w:hint="eastAsia" w:ascii="仿宋_GB2312" w:eastAsia="仿宋_GB2312"/>
          <w:b w:val="0"/>
          <w:sz w:val="32"/>
          <w:szCs w:val="32"/>
        </w:rPr>
        <w:t>或核验过程中，存在弄虚作假、隐瞒事实真相或与受资助单位串通作弊并出具相关报告</w:t>
      </w:r>
      <w:r>
        <w:rPr>
          <w:rFonts w:hint="eastAsia" w:ascii="仿宋_GB2312" w:eastAsia="仿宋_GB2312"/>
          <w:b w:val="0"/>
          <w:sz w:val="32"/>
          <w:szCs w:val="32"/>
          <w:lang w:eastAsia="zh-CN"/>
        </w:rPr>
        <w:t>情形的</w:t>
      </w:r>
      <w:r>
        <w:rPr>
          <w:rFonts w:hint="eastAsia" w:ascii="仿宋_GB2312" w:eastAsia="仿宋_GB2312"/>
          <w:b w:val="0"/>
          <w:sz w:val="32"/>
          <w:szCs w:val="32"/>
        </w:rPr>
        <w:t>，按照有关规定追究责任。</w:t>
      </w:r>
    </w:p>
    <w:p>
      <w:pPr>
        <w:pStyle w:val="3"/>
        <w:snapToGrid w:val="0"/>
        <w:spacing w:before="0" w:beforeAutospacing="0" w:after="0" w:afterAutospacing="0" w:line="560" w:lineRule="exact"/>
        <w:ind w:firstLine="640" w:firstLineChars="200"/>
        <w:jc w:val="both"/>
        <w:rPr>
          <w:rFonts w:ascii="仿宋_GB2312" w:eastAsia="仿宋_GB2312"/>
          <w:b w:val="0"/>
          <w:sz w:val="32"/>
          <w:szCs w:val="32"/>
        </w:rPr>
      </w:pPr>
      <w:r>
        <w:rPr>
          <w:rFonts w:ascii="仿宋_GB2312" w:eastAsia="仿宋_GB2312"/>
          <w:b w:val="0"/>
          <w:sz w:val="32"/>
          <w:szCs w:val="32"/>
        </w:rPr>
        <w:t>（三）</w:t>
      </w:r>
      <w:r>
        <w:rPr>
          <w:rFonts w:hint="eastAsia" w:ascii="仿宋_GB2312" w:eastAsia="仿宋_GB2312"/>
          <w:b w:val="0"/>
          <w:sz w:val="32"/>
          <w:szCs w:val="32"/>
        </w:rPr>
        <w:t>《深圳市市场监督管理局知识产权领域专项资金操作规程》第三十九条规定：第三方中介机构不得违规代理本规程资助奖励项目申领事宜。</w:t>
      </w:r>
    </w:p>
    <w:p>
      <w:pPr>
        <w:pStyle w:val="3"/>
        <w:snapToGrid w:val="0"/>
        <w:spacing w:before="0" w:beforeAutospacing="0" w:after="0" w:afterAutospacing="0" w:line="560" w:lineRule="exact"/>
        <w:ind w:firstLine="640" w:firstLineChars="200"/>
        <w:jc w:val="both"/>
        <w:rPr>
          <w:rFonts w:hint="default"/>
        </w:rPr>
      </w:pPr>
      <w:r>
        <w:rPr>
          <w:rFonts w:hint="eastAsia" w:ascii="仿宋_GB2312" w:eastAsia="仿宋_GB2312"/>
          <w:b w:val="0"/>
          <w:sz w:val="32"/>
          <w:szCs w:val="32"/>
          <w:lang w:eastAsia="zh-CN"/>
        </w:rPr>
        <w:t>（四）</w:t>
      </w:r>
      <w:r>
        <w:rPr>
          <w:rFonts w:ascii="仿宋_GB2312" w:eastAsia="仿宋_GB2312"/>
          <w:b w:val="0"/>
          <w:sz w:val="32"/>
          <w:szCs w:val="32"/>
        </w:rPr>
        <w:t>根据上述规定，申请人申请资助时必须作出合规承诺（在申报系统中操作），否则不予受理。</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收费情况</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不收费。</w:t>
      </w:r>
    </w:p>
    <w:p>
      <w:pPr>
        <w:pStyle w:val="16"/>
        <w:numPr>
          <w:ilvl w:val="0"/>
          <w:numId w:val="1"/>
        </w:numPr>
        <w:snapToGrid w:val="0"/>
        <w:spacing w:line="560" w:lineRule="exact"/>
        <w:ind w:left="1361" w:firstLineChars="0"/>
        <w:rPr>
          <w:rFonts w:ascii="黑体" w:hAnsi="黑体" w:eastAsia="黑体" w:cs="黑体"/>
          <w:sz w:val="32"/>
          <w:szCs w:val="32"/>
        </w:rPr>
      </w:pPr>
      <w:r>
        <w:rPr>
          <w:rFonts w:hint="eastAsia" w:ascii="黑体" w:hAnsi="黑体" w:eastAsia="黑体" w:cs="黑体"/>
          <w:sz w:val="32"/>
          <w:szCs w:val="32"/>
        </w:rPr>
        <w:t>年审或年检</w:t>
      </w:r>
    </w:p>
    <w:p>
      <w:pPr>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无年审、年检。</w:t>
      </w:r>
    </w:p>
    <w:p>
      <w:pPr>
        <w:snapToGrid w:val="0"/>
        <w:spacing w:line="560" w:lineRule="exact"/>
        <w:ind w:firstLine="640" w:firstLineChars="200"/>
        <w:jc w:val="left"/>
        <w:rPr>
          <w:rFonts w:ascii="仿宋_GB2312" w:eastAsia="仿宋_GB2312"/>
          <w:sz w:val="32"/>
          <w:szCs w:val="32"/>
        </w:rPr>
        <w:sectPr>
          <w:footerReference r:id="rId3" w:type="default"/>
          <w:pgSz w:w="11906" w:h="16838"/>
          <w:pgMar w:top="1440" w:right="1800" w:bottom="1440" w:left="1800" w:header="851" w:footer="992" w:gutter="0"/>
          <w:cols w:space="720" w:num="1"/>
          <w:docGrid w:type="lines" w:linePitch="312" w:charSpace="0"/>
        </w:sectPr>
      </w:pPr>
    </w:p>
    <w:p>
      <w:pPr>
        <w:snapToGrid w:val="0"/>
        <w:jc w:val="center"/>
        <w:rPr>
          <w:rFonts w:hint="eastAsia" w:ascii="方正小标宋简体" w:hAnsi="宋体" w:eastAsia="方正小标宋简体" w:cs="宋体"/>
          <w:b/>
          <w:color w:val="000000"/>
          <w:kern w:val="0"/>
          <w:sz w:val="44"/>
          <w:szCs w:val="44"/>
          <w:lang w:val="en-US" w:eastAsia="zh-CN"/>
        </w:rPr>
      </w:pPr>
      <w:r>
        <w:rPr>
          <w:rFonts w:hint="eastAsia" w:ascii="方正小标宋简体" w:hAnsi="宋体" w:eastAsia="方正小标宋简体" w:cs="宋体"/>
          <w:b/>
          <w:color w:val="000000"/>
          <w:kern w:val="0"/>
          <w:sz w:val="44"/>
          <w:szCs w:val="44"/>
          <w:lang w:val="en-US" w:eastAsia="zh-CN"/>
        </w:rPr>
        <w:t>2024年度深圳市知识产权重大专项资助项目清单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76"/>
        <w:gridCol w:w="4005"/>
        <w:gridCol w:w="1882"/>
        <w:gridCol w:w="4808"/>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1" w:type="dxa"/>
            <w:noWrap w:val="0"/>
            <w:vAlign w:val="top"/>
          </w:tcPr>
          <w:p>
            <w:pPr>
              <w:spacing w:line="560" w:lineRule="exact"/>
              <w:jc w:val="center"/>
              <w:rPr>
                <w:rFonts w:ascii="仿宋_GB2312" w:eastAsia="仿宋_GB2312"/>
                <w:b/>
                <w:sz w:val="32"/>
                <w:szCs w:val="32"/>
              </w:rPr>
            </w:pPr>
            <w:r>
              <w:rPr>
                <w:rFonts w:hint="eastAsia" w:ascii="仿宋_GB2312" w:eastAsia="仿宋_GB2312"/>
                <w:b/>
                <w:sz w:val="32"/>
                <w:szCs w:val="32"/>
              </w:rPr>
              <w:t>序号</w:t>
            </w:r>
          </w:p>
        </w:tc>
        <w:tc>
          <w:tcPr>
            <w:tcW w:w="976" w:type="dxa"/>
            <w:noWrap w:val="0"/>
            <w:vAlign w:val="top"/>
          </w:tcPr>
          <w:p>
            <w:pPr>
              <w:spacing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4005" w:type="dxa"/>
            <w:noWrap w:val="0"/>
            <w:vAlign w:val="top"/>
          </w:tcPr>
          <w:p>
            <w:pPr>
              <w:spacing w:line="560" w:lineRule="exact"/>
              <w:jc w:val="center"/>
              <w:rPr>
                <w:rFonts w:ascii="仿宋_GB2312" w:eastAsia="仿宋_GB2312"/>
                <w:b/>
                <w:sz w:val="32"/>
                <w:szCs w:val="32"/>
              </w:rPr>
            </w:pPr>
            <w:r>
              <w:rPr>
                <w:rFonts w:hint="eastAsia" w:ascii="仿宋_GB2312" w:eastAsia="仿宋_GB2312"/>
                <w:b/>
                <w:sz w:val="32"/>
                <w:szCs w:val="32"/>
              </w:rPr>
              <w:t>主要内容</w:t>
            </w:r>
          </w:p>
        </w:tc>
        <w:tc>
          <w:tcPr>
            <w:tcW w:w="1882" w:type="dxa"/>
            <w:noWrap w:val="0"/>
            <w:vAlign w:val="top"/>
          </w:tcPr>
          <w:p>
            <w:pPr>
              <w:spacing w:line="560" w:lineRule="exact"/>
              <w:jc w:val="center"/>
              <w:rPr>
                <w:rFonts w:hint="eastAsia" w:ascii="仿宋_GB2312" w:eastAsia="仿宋_GB2312"/>
                <w:b/>
                <w:sz w:val="32"/>
                <w:szCs w:val="32"/>
                <w:lang w:eastAsia="zh-CN"/>
              </w:rPr>
            </w:pPr>
            <w:r>
              <w:rPr>
                <w:rFonts w:hint="eastAsia" w:ascii="仿宋_GB2312" w:eastAsia="仿宋_GB2312"/>
                <w:b/>
                <w:sz w:val="32"/>
                <w:szCs w:val="32"/>
              </w:rPr>
              <w:t>上级文件</w:t>
            </w:r>
            <w:r>
              <w:rPr>
                <w:rFonts w:hint="eastAsia" w:ascii="仿宋_GB2312" w:eastAsia="仿宋_GB2312"/>
                <w:b/>
                <w:sz w:val="32"/>
                <w:szCs w:val="32"/>
                <w:lang w:eastAsia="zh-CN"/>
              </w:rPr>
              <w:t>名称</w:t>
            </w:r>
          </w:p>
        </w:tc>
        <w:tc>
          <w:tcPr>
            <w:tcW w:w="4808" w:type="dxa"/>
            <w:noWrap w:val="0"/>
            <w:vAlign w:val="top"/>
          </w:tcPr>
          <w:p>
            <w:pPr>
              <w:spacing w:line="56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文件要求具体表述</w:t>
            </w:r>
          </w:p>
        </w:tc>
        <w:tc>
          <w:tcPr>
            <w:tcW w:w="902" w:type="dxa"/>
            <w:noWrap w:val="0"/>
            <w:vAlign w:val="top"/>
          </w:tcPr>
          <w:p>
            <w:pPr>
              <w:spacing w:line="56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81" w:type="dxa"/>
            <w:noWrap w:val="0"/>
            <w:vAlign w:val="center"/>
          </w:tcPr>
          <w:p>
            <w:pPr>
              <w:numPr>
                <w:ilvl w:val="0"/>
                <w:numId w:val="0"/>
              </w:numPr>
              <w:spacing w:line="560" w:lineRule="exact"/>
              <w:ind w:left="0" w:leftChars="0" w:firstLine="0" w:firstLineChars="0"/>
              <w:jc w:val="both"/>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1</w:t>
            </w:r>
          </w:p>
        </w:tc>
        <w:tc>
          <w:tcPr>
            <w:tcW w:w="9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sz w:val="24"/>
                <w:szCs w:val="28"/>
              </w:rPr>
              <w:t>“20+8”重点产业集群专利申请质量评估数据服务</w:t>
            </w:r>
            <w:r>
              <w:rPr>
                <w:rFonts w:hint="eastAsia" w:ascii="仿宋" w:hAnsi="仿宋" w:eastAsia="仿宋"/>
                <w:sz w:val="24"/>
                <w:szCs w:val="28"/>
                <w:lang w:eastAsia="zh-CN"/>
              </w:rPr>
              <w:t>项目</w:t>
            </w:r>
          </w:p>
        </w:tc>
        <w:tc>
          <w:tcPr>
            <w:tcW w:w="4005" w:type="dxa"/>
            <w:noWrap w:val="0"/>
            <w:vAlign w:val="center"/>
          </w:tcPr>
          <w:p>
            <w:pPr>
              <w:numPr>
                <w:ilvl w:val="0"/>
                <w:numId w:val="0"/>
              </w:numPr>
              <w:spacing w:line="360" w:lineRule="exact"/>
              <w:ind w:left="0" w:leftChars="0" w:firstLine="0" w:firstLineChars="0"/>
              <w:jc w:val="both"/>
              <w:rPr>
                <w:rFonts w:hint="eastAsia"/>
                <w:lang w:val="en-US" w:eastAsia="zh-CN"/>
              </w:rPr>
            </w:pPr>
            <w:r>
              <w:rPr>
                <w:rFonts w:hint="eastAsia"/>
              </w:rPr>
              <w:t>聚焦我市“20+8”重点产业集群，对于创新主体提交的专利申请进行质量分析与数据分析，每月返还专利申请质量筛查数据。结合产业发展形势及要求，针对专利申请质量进行评估，研究专利申请质量提升工程中存在的薄弱环节及关键问题。形成重点产业专利申请质量评估报告，帮助企业“对症施治”，为我市“20+8”产业创新主体加强专利布局及申请前评估提出指导建议及数据参考，为我市专利质量提升及推动专利产业化提供数据支撑。</w:t>
            </w:r>
          </w:p>
        </w:tc>
        <w:tc>
          <w:tcPr>
            <w:tcW w:w="1882" w:type="dxa"/>
            <w:noWrap w:val="0"/>
            <w:vAlign w:val="center"/>
          </w:tcPr>
          <w:p>
            <w:pPr>
              <w:numPr>
                <w:ilvl w:val="0"/>
                <w:numId w:val="0"/>
              </w:numPr>
              <w:spacing w:line="360" w:lineRule="exact"/>
              <w:ind w:left="0" w:leftChars="0" w:firstLine="0" w:firstLineChars="0"/>
              <w:jc w:val="both"/>
              <w:rPr>
                <w:rFonts w:hint="eastAsia"/>
                <w:lang w:val="en-US" w:eastAsia="zh-CN"/>
              </w:rPr>
            </w:pPr>
            <w:r>
              <w:rPr>
                <w:rFonts w:hint="eastAsia"/>
                <w:lang w:val="en-US" w:eastAsia="zh-CN"/>
              </w:rPr>
              <w:t>1.《“十四五”国家知识产权保护和运用规划》。</w:t>
            </w:r>
          </w:p>
          <w:p>
            <w:pPr>
              <w:numPr>
                <w:ilvl w:val="0"/>
                <w:numId w:val="0"/>
              </w:numPr>
              <w:spacing w:line="360" w:lineRule="exact"/>
              <w:ind w:left="0" w:leftChars="0" w:firstLine="0" w:firstLineChars="0"/>
              <w:jc w:val="both"/>
              <w:rPr>
                <w:rFonts w:hint="eastAsia"/>
                <w:lang w:val="en-US" w:eastAsia="zh-CN"/>
              </w:rPr>
            </w:pPr>
            <w:r>
              <w:rPr>
                <w:rFonts w:hint="eastAsia"/>
                <w:lang w:val="en-US" w:eastAsia="zh-CN"/>
              </w:rPr>
              <w:t>2.《专利转化运用专项行动方案（2023—2025年）》。</w:t>
            </w:r>
          </w:p>
          <w:p>
            <w:pPr>
              <w:numPr>
                <w:ilvl w:val="0"/>
                <w:numId w:val="0"/>
              </w:numPr>
              <w:spacing w:line="360" w:lineRule="exact"/>
              <w:ind w:left="0" w:leftChars="0" w:firstLine="0" w:firstLineChars="0"/>
              <w:jc w:val="both"/>
              <w:rPr>
                <w:rFonts w:hint="eastAsia"/>
                <w:lang w:val="en-US" w:eastAsia="zh-CN"/>
              </w:rPr>
            </w:pPr>
            <w:r>
              <w:rPr>
                <w:rFonts w:hint="eastAsia"/>
                <w:lang w:val="en-US" w:eastAsia="zh-CN"/>
              </w:rPr>
              <w:t>3.《深圳市人民政府关于发展壮大战略性新兴产业集群和培育发展未来产业的意见》。</w:t>
            </w:r>
          </w:p>
          <w:p>
            <w:pPr>
              <w:numPr>
                <w:ilvl w:val="0"/>
                <w:numId w:val="0"/>
              </w:numPr>
              <w:spacing w:line="360" w:lineRule="exact"/>
              <w:ind w:left="0" w:leftChars="0" w:firstLine="0" w:firstLineChars="0"/>
              <w:jc w:val="both"/>
              <w:rPr>
                <w:rFonts w:hint="eastAsia"/>
                <w:lang w:val="en-US" w:eastAsia="zh-CN"/>
              </w:rPr>
            </w:pPr>
            <w:r>
              <w:rPr>
                <w:rFonts w:hint="eastAsia"/>
                <w:lang w:val="en-US" w:eastAsia="zh-CN"/>
              </w:rPr>
              <w:t>4.《广东省市场监督管理局关于开展专利申请质量前端排查试点工作的通知》。</w:t>
            </w:r>
          </w:p>
        </w:tc>
        <w:tc>
          <w:tcPr>
            <w:tcW w:w="4808" w:type="dxa"/>
            <w:noWrap w:val="0"/>
            <w:vAlign w:val="center"/>
          </w:tcPr>
          <w:p>
            <w:pPr>
              <w:numPr>
                <w:ilvl w:val="0"/>
                <w:numId w:val="0"/>
              </w:numPr>
              <w:spacing w:line="360" w:lineRule="exact"/>
              <w:ind w:left="0" w:leftChars="0" w:firstLine="0" w:firstLineChars="0"/>
              <w:jc w:val="both"/>
              <w:rPr>
                <w:rFonts w:hint="eastAsia"/>
                <w:lang w:val="en-US" w:eastAsia="zh-CN"/>
              </w:rPr>
            </w:pPr>
            <w:r>
              <w:rPr>
                <w:rFonts w:hint="eastAsia"/>
                <w:lang w:val="en-US" w:eastAsia="zh-CN"/>
              </w:rPr>
              <w:t>1.《“十四五”国家知识产权保护和运用规划》提出“每万人口高价值发明专利拥有量”的发展指标，并明确战略性新兴产业的发明专利属于每万人口高价值发明专利拥有量。</w:t>
            </w:r>
          </w:p>
          <w:p>
            <w:pPr>
              <w:numPr>
                <w:ilvl w:val="0"/>
                <w:numId w:val="0"/>
              </w:numPr>
              <w:spacing w:line="360" w:lineRule="exact"/>
              <w:ind w:left="0" w:leftChars="0" w:firstLine="0" w:firstLineChars="0"/>
              <w:jc w:val="both"/>
              <w:rPr>
                <w:rFonts w:hint="eastAsia"/>
                <w:lang w:val="en-US" w:eastAsia="zh-CN"/>
              </w:rPr>
            </w:pPr>
            <w:r>
              <w:rPr>
                <w:rFonts w:hint="eastAsia"/>
                <w:lang w:val="en-US" w:eastAsia="zh-CN"/>
              </w:rPr>
              <w:t>2.《专利转化运用专项行动方案（2023—2025年）》提出：“强化提升专利质量促进专利产业化的政策导向”。</w:t>
            </w:r>
          </w:p>
          <w:p>
            <w:pPr>
              <w:numPr>
                <w:ilvl w:val="0"/>
                <w:numId w:val="0"/>
              </w:numPr>
              <w:spacing w:line="360" w:lineRule="exact"/>
              <w:ind w:left="0" w:leftChars="0" w:firstLine="0" w:firstLineChars="0"/>
              <w:jc w:val="both"/>
              <w:rPr>
                <w:rFonts w:hint="eastAsia"/>
                <w:lang w:val="en-US" w:eastAsia="zh-CN"/>
              </w:rPr>
            </w:pPr>
            <w:r>
              <w:rPr>
                <w:rFonts w:hint="eastAsia"/>
                <w:lang w:val="en-US" w:eastAsia="zh-CN"/>
              </w:rPr>
              <w:t>3.《深圳市人民政府关于发展壮大战略性新兴产业集群和培育发展未来产业的意见》提出：“培育若干具有世界级竞争力的战略性新兴产业集群，抢占未来产业发展先机，提升现代产业体系竞争力。”</w:t>
            </w:r>
          </w:p>
          <w:p>
            <w:pPr>
              <w:numPr>
                <w:ilvl w:val="0"/>
                <w:numId w:val="0"/>
              </w:numPr>
              <w:spacing w:line="360" w:lineRule="exact"/>
              <w:ind w:left="0" w:leftChars="0" w:firstLine="0" w:firstLineChars="0"/>
              <w:jc w:val="both"/>
              <w:rPr>
                <w:rFonts w:hint="eastAsia"/>
                <w:lang w:val="en-US" w:eastAsia="zh-CN"/>
              </w:rPr>
            </w:pPr>
            <w:r>
              <w:rPr>
                <w:rFonts w:hint="eastAsia"/>
                <w:lang w:val="en-US" w:eastAsia="zh-CN"/>
              </w:rPr>
              <w:t>4.《广东省市场监督管理局关于开展专利申请质量前端排查试点工作的通知》提出：“经国家知识产权局批准同意，决定在我省开展专利申请质量前端排查试点工作。”</w:t>
            </w:r>
          </w:p>
        </w:tc>
        <w:tc>
          <w:tcPr>
            <w:tcW w:w="902" w:type="dxa"/>
            <w:noWrap w:val="0"/>
            <w:vAlign w:val="center"/>
          </w:tcPr>
          <w:p>
            <w:pPr>
              <w:numPr>
                <w:ilvl w:val="0"/>
                <w:numId w:val="0"/>
              </w:numPr>
              <w:spacing w:line="400" w:lineRule="exact"/>
              <w:ind w:left="0" w:leftChars="0" w:firstLine="0" w:firstLineChars="0"/>
              <w:jc w:val="both"/>
              <w:rPr>
                <w:rFonts w:hint="default" w:ascii="仿宋" w:hAnsi="仿宋" w:eastAsia="仿宋" w:cs="Times New Roman"/>
                <w:kern w:val="2"/>
                <w:sz w:val="24"/>
                <w:szCs w:val="28"/>
                <w:lang w:val="en-US" w:eastAsia="zh-CN" w:bidi="ar-SA"/>
              </w:rPr>
            </w:pPr>
            <w:r>
              <w:rPr>
                <w:rFonts w:hint="eastAsia" w:ascii="Times New Roman" w:hAnsi="Times New Roman" w:eastAsia="宋体" w:cs="Times New Roman"/>
                <w:kern w:val="2"/>
                <w:sz w:val="21"/>
                <w:szCs w:val="24"/>
                <w:lang w:val="en-US" w:eastAsia="zh-CN" w:bidi="ar-SA"/>
              </w:rPr>
              <w:t>按照项目实际支出成本资助不超过200万元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681" w:type="dxa"/>
            <w:noWrap w:val="0"/>
            <w:vAlign w:val="top"/>
          </w:tcPr>
          <w:p>
            <w:pPr>
              <w:spacing w:line="560" w:lineRule="exact"/>
              <w:jc w:val="center"/>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2</w:t>
            </w:r>
          </w:p>
        </w:tc>
        <w:tc>
          <w:tcPr>
            <w:tcW w:w="976" w:type="dxa"/>
            <w:noWrap w:val="0"/>
            <w:vAlign w:val="center"/>
          </w:tcPr>
          <w:p>
            <w:pPr>
              <w:numPr>
                <w:ilvl w:val="0"/>
                <w:numId w:val="0"/>
              </w:numPr>
              <w:spacing w:line="360" w:lineRule="exact"/>
              <w:ind w:left="0" w:leftChars="0" w:firstLine="0" w:firstLineChars="0"/>
              <w:jc w:val="both"/>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4"/>
                <w:szCs w:val="28"/>
                <w:lang w:val="en-US" w:eastAsia="zh-CN" w:bidi="ar-SA"/>
              </w:rPr>
              <w:t>专利转化供需对接指导及相关政策研究项目</w:t>
            </w:r>
          </w:p>
        </w:tc>
        <w:tc>
          <w:tcPr>
            <w:tcW w:w="4005" w:type="dxa"/>
            <w:noWrap w:val="0"/>
            <w:vAlign w:val="center"/>
          </w:tcPr>
          <w:p>
            <w:pPr>
              <w:numPr>
                <w:ilvl w:val="0"/>
                <w:numId w:val="0"/>
              </w:numPr>
              <w:spacing w:line="360" w:lineRule="exact"/>
              <w:ind w:left="0" w:leftChars="0" w:firstLine="0" w:firstLineChars="0"/>
              <w:jc w:val="both"/>
              <w:rPr>
                <w:rFonts w:hint="eastAsia"/>
                <w:lang w:eastAsia="zh-CN"/>
              </w:rPr>
            </w:pPr>
            <w:r>
              <w:rPr>
                <w:rFonts w:hint="eastAsia"/>
              </w:rPr>
              <w:t>根据《国务院办公厅关于印发&lt;专利转化运用专项行动方案（2023—2025年）&gt;的通知》的有关要求，</w:t>
            </w:r>
            <w:r>
              <w:rPr>
                <w:rFonts w:hint="eastAsia"/>
                <w:lang w:eastAsia="zh-CN"/>
              </w:rPr>
              <w:t>开展专利转化供需对接、专利转化实务指导以及跨境转让政策研究等相关工作。包括但不限于以下内容：</w:t>
            </w:r>
          </w:p>
          <w:p>
            <w:pPr>
              <w:numPr>
                <w:ilvl w:val="0"/>
                <w:numId w:val="0"/>
              </w:numPr>
              <w:spacing w:line="360" w:lineRule="exact"/>
              <w:ind w:left="0" w:leftChars="0" w:firstLine="0" w:firstLineChars="0"/>
              <w:jc w:val="both"/>
              <w:rPr>
                <w:rFonts w:hint="eastAsia"/>
                <w:lang w:eastAsia="zh-CN"/>
              </w:rPr>
            </w:pPr>
            <w:r>
              <w:rPr>
                <w:rFonts w:hint="eastAsia"/>
                <w:lang w:val="en-US" w:eastAsia="zh-CN"/>
              </w:rPr>
              <w:t>1</w:t>
            </w:r>
            <w:r>
              <w:rPr>
                <w:rFonts w:hint="default"/>
                <w:lang w:val="en" w:eastAsia="zh-CN"/>
              </w:rPr>
              <w:t>.</w:t>
            </w:r>
            <w:r>
              <w:rPr>
                <w:rFonts w:hint="eastAsia"/>
                <w:lang w:val="en" w:eastAsia="zh-CN"/>
              </w:rPr>
              <w:t>走访我市</w:t>
            </w:r>
            <w:r>
              <w:rPr>
                <w:rFonts w:hint="eastAsia"/>
              </w:rPr>
              <w:t>高校和科研机构</w:t>
            </w:r>
            <w:r>
              <w:rPr>
                <w:rFonts w:hint="eastAsia"/>
                <w:lang w:eastAsia="zh-CN"/>
              </w:rPr>
              <w:t>，对其</w:t>
            </w:r>
            <w:r>
              <w:rPr>
                <w:rFonts w:hint="eastAsia"/>
                <w:lang w:val="en-US" w:eastAsia="zh-CN"/>
              </w:rPr>
              <w:t>2023年前授权且在有效状态的存量专利进行全面梳理</w:t>
            </w:r>
            <w:r>
              <w:rPr>
                <w:rFonts w:hint="eastAsia"/>
              </w:rPr>
              <w:t>，</w:t>
            </w:r>
            <w:r>
              <w:rPr>
                <w:rFonts w:hint="eastAsia"/>
                <w:lang w:eastAsia="zh-CN"/>
              </w:rPr>
              <w:t>根据专利的技术领域、转化意愿和实施情况进行梳理归纳，形成专利转化资源库；</w:t>
            </w:r>
          </w:p>
          <w:p>
            <w:pPr>
              <w:numPr>
                <w:ilvl w:val="0"/>
                <w:numId w:val="0"/>
              </w:numPr>
              <w:spacing w:line="360" w:lineRule="exact"/>
              <w:ind w:left="0" w:leftChars="0" w:firstLine="0" w:firstLineChars="0"/>
              <w:jc w:val="both"/>
              <w:rPr>
                <w:rFonts w:hint="eastAsia" w:eastAsia="宋体"/>
                <w:lang w:eastAsia="zh-CN"/>
              </w:rPr>
            </w:pPr>
            <w:r>
              <w:rPr>
                <w:rFonts w:hint="eastAsia"/>
                <w:lang w:val="en-US" w:eastAsia="zh-CN"/>
              </w:rPr>
              <w:t>2.</w:t>
            </w:r>
            <w:r>
              <w:rPr>
                <w:rFonts w:hint="eastAsia"/>
              </w:rPr>
              <w:t>挖掘我市重点产业专利需求，</w:t>
            </w:r>
            <w:r>
              <w:rPr>
                <w:rFonts w:hint="eastAsia"/>
                <w:lang w:eastAsia="zh-CN"/>
              </w:rPr>
              <w:t>指导企业通过开展专利导航等形式</w:t>
            </w:r>
            <w:r>
              <w:rPr>
                <w:rFonts w:hint="eastAsia"/>
              </w:rPr>
              <w:t>对专利的产业化前景、技术改进需求和产学研合作意愿等进行评估；积极开展专利转化对接相关活动，促成供需对接；调研中小企业专利专业化融资需求，联合金融机构畅通知识产权质押等融资渠道；开展知识产权质押融资入园惠企活动</w:t>
            </w:r>
            <w:r>
              <w:rPr>
                <w:rFonts w:hint="eastAsia"/>
                <w:lang w:eastAsia="zh-CN"/>
              </w:rPr>
              <w:t>；</w:t>
            </w:r>
          </w:p>
          <w:p>
            <w:pPr>
              <w:numPr>
                <w:ilvl w:val="0"/>
                <w:numId w:val="0"/>
              </w:numPr>
              <w:spacing w:line="360" w:lineRule="exact"/>
              <w:ind w:left="0" w:leftChars="0" w:firstLine="0" w:firstLineChars="0"/>
              <w:jc w:val="both"/>
              <w:rPr>
                <w:rFonts w:hint="eastAsia" w:ascii="仿宋" w:hAnsi="仿宋" w:eastAsia="仿宋" w:cs="Times New Roman"/>
                <w:kern w:val="2"/>
                <w:sz w:val="28"/>
                <w:szCs w:val="28"/>
                <w:lang w:val="en-US" w:eastAsia="zh-CN" w:bidi="ar-SA"/>
              </w:rPr>
            </w:pPr>
            <w:r>
              <w:rPr>
                <w:rFonts w:hint="eastAsia"/>
                <w:lang w:val="en-US" w:eastAsia="zh-CN"/>
              </w:rPr>
              <w:t>3.</w:t>
            </w:r>
            <w:r>
              <w:rPr>
                <w:rFonts w:hint="eastAsia"/>
              </w:rPr>
              <w:t>加强国际知识产权转化政策研究，促进知识产权跨境转让</w:t>
            </w:r>
            <w:r>
              <w:rPr>
                <w:rFonts w:hint="eastAsia"/>
                <w:lang w:eastAsia="zh-CN"/>
              </w:rPr>
              <w:t>。梳理目前国内外知识产权跨境交易政策，对比政策差异及实施效果，结合深圳产业发展实际给出政策建议，并形成相关报告。</w:t>
            </w:r>
          </w:p>
        </w:tc>
        <w:tc>
          <w:tcPr>
            <w:tcW w:w="1882" w:type="dxa"/>
            <w:noWrap w:val="0"/>
            <w:vAlign w:val="center"/>
          </w:tcPr>
          <w:p>
            <w:pPr>
              <w:numPr>
                <w:ilvl w:val="0"/>
                <w:numId w:val="0"/>
              </w:numPr>
              <w:spacing w:line="360" w:lineRule="exact"/>
              <w:ind w:left="0" w:leftChars="0" w:firstLine="0" w:firstLineChars="0"/>
              <w:jc w:val="both"/>
              <w:rPr>
                <w:rFonts w:hint="eastAsia"/>
              </w:rPr>
            </w:pPr>
            <w:r>
              <w:rPr>
                <w:rFonts w:hint="eastAsia"/>
              </w:rPr>
              <w:t>1.国务院办公厅关于印发《专利转化运用专项行动方案（2023—2025年）》的通知；</w:t>
            </w:r>
          </w:p>
          <w:p>
            <w:pPr>
              <w:numPr>
                <w:ilvl w:val="0"/>
                <w:numId w:val="0"/>
              </w:numPr>
              <w:spacing w:line="360" w:lineRule="exact"/>
              <w:ind w:left="0" w:leftChars="0" w:firstLine="0" w:firstLineChars="0"/>
              <w:jc w:val="both"/>
              <w:rPr>
                <w:rFonts w:hint="eastAsia"/>
              </w:rPr>
            </w:pPr>
            <w:r>
              <w:rPr>
                <w:rFonts w:hint="eastAsia"/>
              </w:rPr>
              <w:t>2.《高校和科研机构存量专利盘活工作方案》；</w:t>
            </w:r>
          </w:p>
          <w:p>
            <w:pPr>
              <w:numPr>
                <w:ilvl w:val="0"/>
                <w:numId w:val="0"/>
              </w:numPr>
              <w:spacing w:line="360" w:lineRule="exact"/>
              <w:ind w:left="0" w:leftChars="0" w:firstLine="0" w:firstLineChars="0"/>
              <w:jc w:val="both"/>
              <w:rPr>
                <w:rFonts w:hint="default" w:ascii="仿宋" w:hAnsi="仿宋" w:eastAsia="仿宋" w:cs="Times New Roman"/>
                <w:kern w:val="2"/>
                <w:sz w:val="28"/>
                <w:szCs w:val="28"/>
                <w:lang w:val="en-US" w:eastAsia="zh-CN" w:bidi="ar-SA"/>
              </w:rPr>
            </w:pPr>
            <w:r>
              <w:rPr>
                <w:rFonts w:hint="eastAsia"/>
              </w:rPr>
              <w:t>3.《专利产业化促进中小企业成长计划实施方案》。</w:t>
            </w:r>
          </w:p>
        </w:tc>
        <w:tc>
          <w:tcPr>
            <w:tcW w:w="4808" w:type="dxa"/>
            <w:noWrap w:val="0"/>
            <w:vAlign w:val="center"/>
          </w:tcPr>
          <w:p>
            <w:pPr>
              <w:numPr>
                <w:ilvl w:val="0"/>
                <w:numId w:val="0"/>
              </w:numPr>
              <w:spacing w:line="360" w:lineRule="exact"/>
              <w:ind w:left="0" w:leftChars="0" w:firstLine="0" w:firstLineChars="0"/>
              <w:jc w:val="both"/>
              <w:rPr>
                <w:rFonts w:hint="eastAsia"/>
              </w:rPr>
            </w:pPr>
            <w:r>
              <w:rPr>
                <w:rFonts w:hint="eastAsia"/>
              </w:rPr>
              <w:t>1.国务院办公厅关于印发《专利转化运用专项行动方案（2023—2025年）》的通知，提出：“梳理盘活高校和科研机构存量专利”、“推动高校、科研机构加快实施以产业化前景分析为核心的专利申请前评估制度”、“畅通知识产权要素国际循环”等</w:t>
            </w:r>
          </w:p>
          <w:p>
            <w:pPr>
              <w:numPr>
                <w:ilvl w:val="0"/>
                <w:numId w:val="0"/>
              </w:numPr>
              <w:spacing w:line="360" w:lineRule="exact"/>
              <w:ind w:left="0" w:leftChars="0" w:firstLine="0" w:firstLineChars="0"/>
              <w:jc w:val="both"/>
              <w:rPr>
                <w:rFonts w:hint="eastAsia"/>
              </w:rPr>
            </w:pPr>
            <w:r>
              <w:rPr>
                <w:rFonts w:hint="eastAsia"/>
              </w:rPr>
              <w:t>2.《高校和科研机构存量专利盘活工作方案》提出，“全面盘点,构建高校和科研机构存量专利基础库”、“全面盘点,构建高校和科研机构存量专利基础库”</w:t>
            </w:r>
          </w:p>
          <w:p>
            <w:pPr>
              <w:numPr>
                <w:ilvl w:val="0"/>
                <w:numId w:val="0"/>
              </w:numPr>
              <w:spacing w:line="360" w:lineRule="exact"/>
              <w:ind w:left="0" w:leftChars="0" w:firstLine="0" w:firstLineChars="0"/>
              <w:jc w:val="both"/>
              <w:rPr>
                <w:rFonts w:hint="default" w:ascii="仿宋" w:hAnsi="仿宋" w:eastAsia="仿宋" w:cs="Times New Roman"/>
                <w:kern w:val="2"/>
                <w:sz w:val="28"/>
                <w:szCs w:val="28"/>
                <w:lang w:val="en-US" w:eastAsia="zh-CN" w:bidi="ar-SA"/>
              </w:rPr>
            </w:pPr>
            <w:r>
              <w:rPr>
                <w:rFonts w:hint="eastAsia"/>
              </w:rPr>
              <w:t>3.《专利产业化促进中小企业成长计划实施方案》提出，“加大投融资精准服务力度”等。</w:t>
            </w:r>
          </w:p>
        </w:tc>
        <w:tc>
          <w:tcPr>
            <w:tcW w:w="902" w:type="dxa"/>
            <w:noWrap w:val="0"/>
            <w:vAlign w:val="center"/>
          </w:tcPr>
          <w:p>
            <w:pPr>
              <w:numPr>
                <w:ilvl w:val="0"/>
                <w:numId w:val="0"/>
              </w:numPr>
              <w:spacing w:line="360" w:lineRule="exact"/>
              <w:ind w:left="0" w:leftChars="0" w:firstLine="0" w:firstLineChars="0"/>
              <w:jc w:val="both"/>
              <w:rPr>
                <w:rFonts w:hint="default" w:ascii="仿宋" w:hAnsi="仿宋" w:eastAsia="宋体" w:cs="Times New Roman"/>
                <w:kern w:val="2"/>
                <w:sz w:val="28"/>
                <w:szCs w:val="28"/>
                <w:lang w:val="en-US" w:eastAsia="zh-CN" w:bidi="ar-SA"/>
              </w:rPr>
            </w:pPr>
            <w:r>
              <w:rPr>
                <w:rFonts w:hint="eastAsia"/>
              </w:rPr>
              <w:t>按照项目实际支出成本资助不超过200万元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681" w:type="dxa"/>
            <w:noWrap w:val="0"/>
            <w:vAlign w:val="top"/>
          </w:tcPr>
          <w:p>
            <w:pPr>
              <w:spacing w:line="560" w:lineRule="exact"/>
              <w:jc w:val="center"/>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3</w:t>
            </w:r>
          </w:p>
        </w:tc>
        <w:tc>
          <w:tcPr>
            <w:tcW w:w="976" w:type="dxa"/>
            <w:noWrap w:val="0"/>
            <w:vAlign w:val="center"/>
          </w:tcPr>
          <w:p>
            <w:pPr>
              <w:numPr>
                <w:ilvl w:val="0"/>
                <w:numId w:val="0"/>
              </w:numPr>
              <w:spacing w:line="320" w:lineRule="exact"/>
              <w:ind w:left="0" w:leftChars="0" w:firstLine="0" w:firstLineChars="0"/>
              <w:jc w:val="center"/>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深圳市知识产权公共服务</w:t>
            </w:r>
            <w:r>
              <w:rPr>
                <w:rFonts w:hint="default" w:ascii="仿宋" w:hAnsi="仿宋" w:eastAsia="仿宋" w:cs="Times New Roman"/>
                <w:kern w:val="2"/>
                <w:sz w:val="24"/>
                <w:szCs w:val="28"/>
                <w:lang w:eastAsia="zh-CN" w:bidi="ar-SA"/>
              </w:rPr>
              <w:t>质量提升</w:t>
            </w:r>
            <w:r>
              <w:rPr>
                <w:rFonts w:hint="eastAsia" w:ascii="仿宋" w:hAnsi="仿宋" w:eastAsia="仿宋" w:cs="Times New Roman"/>
                <w:kern w:val="2"/>
                <w:sz w:val="24"/>
                <w:szCs w:val="28"/>
                <w:lang w:val="en-US" w:eastAsia="zh-CN" w:bidi="ar-SA"/>
              </w:rPr>
              <w:t>研究及辅导支撑项目</w:t>
            </w:r>
          </w:p>
        </w:tc>
        <w:tc>
          <w:tcPr>
            <w:tcW w:w="40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sz w:val="24"/>
                <w:szCs w:val="28"/>
              </w:rPr>
            </w:pPr>
            <w:r>
              <w:rPr>
                <w:rFonts w:hint="eastAsia" w:ascii="仿宋" w:hAnsi="仿宋" w:eastAsia="仿宋"/>
                <w:sz w:val="24"/>
                <w:szCs w:val="28"/>
              </w:rPr>
              <w:t>根据《知识产权强国建设纲要（2021－2035年）》及国家知识产权局《知识产权公共服务普惠工程实施方案（2023—2025年）》的有关要求，开展我市知识产权公共服务标准化管理研究、服务指导及培训等工作，进一步提升我市知识产权公共服务质量。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sz w:val="24"/>
                <w:szCs w:val="28"/>
              </w:rPr>
            </w:pPr>
            <w:r>
              <w:rPr>
                <w:rFonts w:hint="eastAsia" w:ascii="仿宋" w:hAnsi="仿宋" w:eastAsia="仿宋"/>
                <w:sz w:val="24"/>
                <w:szCs w:val="28"/>
              </w:rPr>
              <w:t>1. 基础研究。开展知识产权服务业基础研究和统计调查分析工作，为知识产权公共服务质量提升工作提供基础支撑；针对我市知识产权公共服务节点及网点以及我市创新主体和社会公众的服务需求进行调研走访，对标北京、广州、上海等地的知识产权公共服务网点管理先进做法，探索建立符合深圳产业发展需求的可用于知识产权公共服务网点认定、管理、评价等工作的管理制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sz w:val="24"/>
                <w:szCs w:val="28"/>
              </w:rPr>
            </w:pPr>
            <w:r>
              <w:rPr>
                <w:rFonts w:hint="eastAsia" w:ascii="仿宋" w:hAnsi="仿宋" w:eastAsia="仿宋"/>
                <w:sz w:val="24"/>
                <w:szCs w:val="28"/>
              </w:rPr>
              <w:t>2. 标准体系建设。调研国际、国内知识产权公共服务领域相关政策和标准信息，以及我市创新主体、社会公众、知识产权公共服务机构等的服务需求，探索建立深圳市知识产权公共服务标准体系，做好知识产权公共服务顶层规划，给出我市未来知识产权公共服务标准制修订计划建议；结合我市实际情况，研制急需的知识产权公共服务地方标准、内部规范，以标准化手段不断规范知识产权公共服务机构的服务内容、服务流程、服务形式，不断提升服务质量。</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sz w:val="24"/>
                <w:szCs w:val="28"/>
              </w:rPr>
            </w:pPr>
            <w:r>
              <w:rPr>
                <w:rFonts w:hint="eastAsia" w:ascii="仿宋" w:hAnsi="仿宋" w:eastAsia="仿宋"/>
                <w:sz w:val="24"/>
                <w:szCs w:val="28"/>
              </w:rPr>
              <w:t>3. 开展知识产权公共服务宣传培训、意识提升活动。围绕我市知识产权公共服务机构的服务提供、服务管理、人才培养等方面需求，开展知识产权相关能力提升、人才培养等培训和交流活动，不断提升知识产权公共服务能力和服务质量。</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 w:hAnsi="仿宋" w:eastAsia="仿宋" w:cs="Times New Roman"/>
                <w:kern w:val="2"/>
                <w:sz w:val="24"/>
                <w:szCs w:val="28"/>
                <w:lang w:val="en-US" w:eastAsia="zh-CN" w:bidi="ar-SA"/>
              </w:rPr>
            </w:pPr>
            <w:r>
              <w:rPr>
                <w:rFonts w:hint="eastAsia" w:ascii="仿宋" w:hAnsi="仿宋" w:eastAsia="仿宋"/>
                <w:sz w:val="24"/>
                <w:szCs w:val="28"/>
              </w:rPr>
              <w:t>4. 开展区级公共服务辅导工作。根据国家、省、市知识产权公共服务机构服务和管理要求，结合我市各区实际情况，为区级知识产权公共服务机构制定公共服务管理制度、事项清单和办事指南等工作提供咨询辅导服务；辅导我市1—2个区按照相关要求建立县区级综合性知识产权公共服务机构并有效运作。</w:t>
            </w:r>
          </w:p>
        </w:tc>
        <w:tc>
          <w:tcPr>
            <w:tcW w:w="18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1.《知识产权强国建设纲要（2021－2035年）》。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2.</w:t>
            </w:r>
            <w:r>
              <w:rPr>
                <w:rFonts w:hint="eastAsia" w:ascii="仿宋" w:hAnsi="仿宋" w:eastAsia="仿宋"/>
                <w:sz w:val="24"/>
                <w:szCs w:val="28"/>
                <w:lang w:val="en-US" w:eastAsia="zh-CN"/>
              </w:rPr>
              <w:t>《“十四五”国家知识产权保护和运用规划》。</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3.《知识产权公共服务“十四五”规划》。</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4.《知识产权公共服务普惠工程实施方案（2023—2025年）》。</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5.《国家知识产权局办公室关于开展知识产权公共服务标准化城市建设试点工作的通知》。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6.《广东省知识产权公共服务普惠工程实施计划（2023—2025年）》。</w:t>
            </w:r>
          </w:p>
        </w:tc>
        <w:tc>
          <w:tcPr>
            <w:tcW w:w="480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1.《知识产权强国建设纲要（2021－2035年）》提出：“建设便民利民的知识产权公共服务体系”“加强公共服务标准化、规范化、网络化建设”。</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2.</w:t>
            </w:r>
            <w:r>
              <w:rPr>
                <w:rFonts w:hint="eastAsia" w:ascii="仿宋" w:hAnsi="仿宋" w:eastAsia="仿宋"/>
                <w:sz w:val="24"/>
                <w:szCs w:val="28"/>
                <w:lang w:val="en-US" w:eastAsia="zh-CN"/>
              </w:rPr>
              <w:t>《“十四五”国家知识产权保护和运用规划》</w:t>
            </w:r>
            <w:r>
              <w:rPr>
                <w:rFonts w:hint="eastAsia" w:ascii="仿宋" w:hAnsi="仿宋" w:eastAsia="仿宋" w:cs="Times New Roman"/>
                <w:kern w:val="2"/>
                <w:sz w:val="24"/>
                <w:szCs w:val="28"/>
                <w:lang w:val="en-US" w:eastAsia="zh-CN" w:bidi="ar-SA"/>
              </w:rPr>
              <w:t>提出：“构建便民利民知识产权服务体系，促进创新成果更好惠及人民”“加强知识产权公共服务规范化、标准化建设，明晰知识产权公共服务事项和范围，建立知识产权公共服务清单制度”。</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3.《知识产权公共服务“十四五”规划》提出：“到2025年，知识产权公共服务体系更加便民利民、公共服务信息化基础设施更加智慧便捷、公共服务供给更加丰富多元、公共服务发展基础更加牢固坚实”。</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4.《知识产权公共服务普惠工程实施方案（2023—2025年）》提出：“实施知识产权公共服务普惠工程的目的是实现政策普惠公平、服务普惠可及、数据普惠开放，推动各地公共服务覆盖更广、效能更高、服务更好、体验更优”。</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5.《国家知识产权局办公室关于开展知识产权公共服务标准化城市建设试点工作的通知》明确：“自 2023 年 6 月开始在北京、</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上海、广州、深圳、长春、杭州、长沙、昆明、苏州开展为期一年的知识产权公共服务标准化城市建设试点工作”“支持试点地方在推进知识产权公共服务标准化规范化便利化，全面提升知识产权公共服务效能等方面探索创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6.《广东省知识产权公共服务普惠工程实施计划（2023—2025年）》提出：“优化公共服务网点布局。开展省级知识产权信息公共服务网点认定”“至2025年，省级以上知识产权信息公共服务网点达50家”“增强知识产权公共服务标准化规范化水平”“支持各级各类知识产权公共服务机构制定本机构个性化公共服务事项清单并向社会公布”。</w:t>
            </w:r>
          </w:p>
        </w:tc>
        <w:tc>
          <w:tcPr>
            <w:tcW w:w="902" w:type="dxa"/>
            <w:noWrap w:val="0"/>
            <w:vAlign w:val="center"/>
          </w:tcPr>
          <w:p>
            <w:pPr>
              <w:numPr>
                <w:ilvl w:val="0"/>
                <w:numId w:val="0"/>
              </w:numPr>
              <w:spacing w:line="320" w:lineRule="exact"/>
              <w:ind w:left="0" w:leftChars="0" w:firstLine="0" w:firstLineChars="0"/>
              <w:jc w:val="both"/>
              <w:rPr>
                <w:rFonts w:hint="eastAsia" w:ascii="仿宋" w:hAnsi="仿宋" w:eastAsia="仿宋" w:cs="Times New Roman"/>
                <w:kern w:val="2"/>
                <w:sz w:val="24"/>
                <w:szCs w:val="28"/>
                <w:lang w:val="en-US" w:eastAsia="zh-CN" w:bidi="ar-SA"/>
              </w:rPr>
            </w:pPr>
            <w:r>
              <w:rPr>
                <w:rFonts w:hint="eastAsia" w:ascii="仿宋" w:hAnsi="仿宋" w:eastAsia="仿宋"/>
                <w:sz w:val="24"/>
                <w:szCs w:val="28"/>
              </w:rPr>
              <w:t>按照项目实际支出成本资助不超过200万元</w:t>
            </w:r>
          </w:p>
        </w:tc>
      </w:tr>
    </w:tbl>
    <w:p>
      <w:pPr>
        <w:spacing w:line="560" w:lineRule="exact"/>
        <w:rPr>
          <w:rFonts w:hint="eastAsia" w:ascii="仿宋" w:hAnsi="仿宋" w:eastAsia="仿宋" w:cs="仿宋"/>
          <w:sz w:val="24"/>
        </w:rPr>
      </w:pPr>
      <w:r>
        <w:rPr>
          <w:rFonts w:hint="eastAsia" w:ascii="仿宋" w:hAnsi="仿宋" w:eastAsia="仿宋" w:cs="仿宋"/>
          <w:sz w:val="24"/>
        </w:rPr>
        <w:t>注：申请人申报202</w:t>
      </w:r>
      <w:r>
        <w:rPr>
          <w:rFonts w:hint="eastAsia" w:ascii="仿宋" w:hAnsi="仿宋" w:eastAsia="仿宋" w:cs="仿宋"/>
          <w:sz w:val="24"/>
          <w:lang w:val="en-US" w:eastAsia="zh-CN"/>
        </w:rPr>
        <w:t>4</w:t>
      </w:r>
      <w:r>
        <w:rPr>
          <w:rFonts w:hint="eastAsia" w:ascii="仿宋" w:hAnsi="仿宋" w:eastAsia="仿宋" w:cs="仿宋"/>
          <w:sz w:val="24"/>
        </w:rPr>
        <w:t>年深圳市知识产权重大专项资助项目时，提交项目方案应包括但不限于本表格所述的“主要内容”。</w:t>
      </w:r>
    </w:p>
    <w:p>
      <w:pPr>
        <w:snapToGrid w:val="0"/>
        <w:spacing w:beforeLines="100" w:line="560" w:lineRule="exact"/>
        <w:ind w:firstLine="480" w:firstLineChars="200"/>
        <w:jc w:val="left"/>
        <w:rPr>
          <w:rFonts w:hint="eastAsia" w:ascii="仿宋" w:hAnsi="仿宋" w:eastAsia="仿宋" w:cs="仿宋"/>
          <w:sz w:val="24"/>
        </w:rPr>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83D1A"/>
    <w:multiLevelType w:val="singleLevel"/>
    <w:tmpl w:val="E1683D1A"/>
    <w:lvl w:ilvl="0" w:tentative="0">
      <w:start w:val="1"/>
      <w:numFmt w:val="chineseCounting"/>
      <w:suff w:val="nothing"/>
      <w:lvlText w:val="（%1）"/>
      <w:lvlJc w:val="left"/>
      <w:rPr>
        <w:rFonts w:hint="eastAsia"/>
      </w:rPr>
    </w:lvl>
  </w:abstractNum>
  <w:abstractNum w:abstractNumId="1">
    <w:nsid w:val="FF5FF177"/>
    <w:multiLevelType w:val="singleLevel"/>
    <w:tmpl w:val="FF5FF177"/>
    <w:lvl w:ilvl="0" w:tentative="0">
      <w:start w:val="1"/>
      <w:numFmt w:val="decimal"/>
      <w:lvlText w:val="%1."/>
      <w:lvlJc w:val="left"/>
      <w:pPr>
        <w:tabs>
          <w:tab w:val="left" w:pos="312"/>
        </w:tabs>
      </w:pPr>
    </w:lvl>
  </w:abstractNum>
  <w:abstractNum w:abstractNumId="2">
    <w:nsid w:val="03E81AF4"/>
    <w:multiLevelType w:val="multilevel"/>
    <w:tmpl w:val="03E81AF4"/>
    <w:lvl w:ilvl="0" w:tentative="0">
      <w:start w:val="1"/>
      <w:numFmt w:val="japaneseCounting"/>
      <w:lvlText w:val="%1、"/>
      <w:lvlJc w:val="left"/>
      <w:pPr>
        <w:ind w:left="1360" w:hanging="720"/>
      </w:pPr>
      <w:rPr>
        <w:rFonts w:hint="default" w:ascii="黑体" w:hAnsi="黑体" w:eastAsia="黑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9F64F8"/>
    <w:multiLevelType w:val="multilevel"/>
    <w:tmpl w:val="269F64F8"/>
    <w:lvl w:ilvl="0" w:tentative="0">
      <w:start w:val="1"/>
      <w:numFmt w:val="japaneseCounting"/>
      <w:lvlText w:val="（%1）"/>
      <w:lvlJc w:val="left"/>
      <w:pPr>
        <w:ind w:left="1723" w:hanging="1080"/>
      </w:pPr>
      <w:rPr>
        <w:rFonts w:hint="eastAsia" w:ascii="楷体_GB2312"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rPr>
        <w:rFonts w:hint="eastAsia" w:ascii="楷体_GB2312" w:eastAsia="楷体_GB2312"/>
        <w:b/>
      </w:rPr>
    </w:lvl>
    <w:lvl w:ilvl="4" w:tentative="0">
      <w:start w:val="1"/>
      <w:numFmt w:val="decimal"/>
      <w:lvlText w:val="（%5）"/>
      <w:lvlJc w:val="left"/>
      <w:pPr>
        <w:ind w:left="3403" w:hanging="1080"/>
      </w:pPr>
      <w:rPr>
        <w:rFonts w:hint="default"/>
        <w:lang w:val="en-US"/>
      </w:r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zZiMDdkYTY0ZmRmMzBiOWIyYjRiNDY5NGVjYjcifQ=="/>
  </w:docVars>
  <w:rsids>
    <w:rsidRoot w:val="303C3716"/>
    <w:rsid w:val="00093BFC"/>
    <w:rsid w:val="000D6AFA"/>
    <w:rsid w:val="000E339A"/>
    <w:rsid w:val="00114CE4"/>
    <w:rsid w:val="001215B3"/>
    <w:rsid w:val="0012255A"/>
    <w:rsid w:val="001501BC"/>
    <w:rsid w:val="00150517"/>
    <w:rsid w:val="001B7CDA"/>
    <w:rsid w:val="001C037F"/>
    <w:rsid w:val="001C621F"/>
    <w:rsid w:val="001D6603"/>
    <w:rsid w:val="00235A49"/>
    <w:rsid w:val="00242477"/>
    <w:rsid w:val="00280A48"/>
    <w:rsid w:val="00292A22"/>
    <w:rsid w:val="002A61FE"/>
    <w:rsid w:val="002C264A"/>
    <w:rsid w:val="002E5A85"/>
    <w:rsid w:val="002F239C"/>
    <w:rsid w:val="002F5228"/>
    <w:rsid w:val="002F6363"/>
    <w:rsid w:val="00307DD3"/>
    <w:rsid w:val="00312128"/>
    <w:rsid w:val="00321345"/>
    <w:rsid w:val="003347DA"/>
    <w:rsid w:val="0034702C"/>
    <w:rsid w:val="003811D1"/>
    <w:rsid w:val="003859F9"/>
    <w:rsid w:val="0039130D"/>
    <w:rsid w:val="003A21BD"/>
    <w:rsid w:val="003B4E05"/>
    <w:rsid w:val="003C066F"/>
    <w:rsid w:val="00420EA1"/>
    <w:rsid w:val="00447BAC"/>
    <w:rsid w:val="004649A2"/>
    <w:rsid w:val="00470BBF"/>
    <w:rsid w:val="00471392"/>
    <w:rsid w:val="004920D0"/>
    <w:rsid w:val="00492249"/>
    <w:rsid w:val="00494F08"/>
    <w:rsid w:val="004D5860"/>
    <w:rsid w:val="00530529"/>
    <w:rsid w:val="00531E2F"/>
    <w:rsid w:val="0055487C"/>
    <w:rsid w:val="00566C01"/>
    <w:rsid w:val="00585AC2"/>
    <w:rsid w:val="00594157"/>
    <w:rsid w:val="005B66DA"/>
    <w:rsid w:val="005E71F2"/>
    <w:rsid w:val="005F0C56"/>
    <w:rsid w:val="005F45A6"/>
    <w:rsid w:val="00632D0B"/>
    <w:rsid w:val="00634337"/>
    <w:rsid w:val="00646253"/>
    <w:rsid w:val="00663281"/>
    <w:rsid w:val="00686501"/>
    <w:rsid w:val="006979D9"/>
    <w:rsid w:val="006C2A4B"/>
    <w:rsid w:val="006E17CC"/>
    <w:rsid w:val="00703C52"/>
    <w:rsid w:val="00731745"/>
    <w:rsid w:val="007660A5"/>
    <w:rsid w:val="007849BC"/>
    <w:rsid w:val="007B4669"/>
    <w:rsid w:val="007C6D7E"/>
    <w:rsid w:val="007D592F"/>
    <w:rsid w:val="0080254E"/>
    <w:rsid w:val="00803BEC"/>
    <w:rsid w:val="00804B30"/>
    <w:rsid w:val="008273B9"/>
    <w:rsid w:val="00834185"/>
    <w:rsid w:val="0085279F"/>
    <w:rsid w:val="00857A69"/>
    <w:rsid w:val="00886917"/>
    <w:rsid w:val="008871D0"/>
    <w:rsid w:val="00893849"/>
    <w:rsid w:val="008955FA"/>
    <w:rsid w:val="008B32B5"/>
    <w:rsid w:val="008B3A3F"/>
    <w:rsid w:val="008C42A1"/>
    <w:rsid w:val="008D79FB"/>
    <w:rsid w:val="008E38AE"/>
    <w:rsid w:val="00907EC9"/>
    <w:rsid w:val="0091297C"/>
    <w:rsid w:val="00940B80"/>
    <w:rsid w:val="009473BD"/>
    <w:rsid w:val="00953C36"/>
    <w:rsid w:val="00983D09"/>
    <w:rsid w:val="0098462C"/>
    <w:rsid w:val="009869D6"/>
    <w:rsid w:val="009A2E1B"/>
    <w:rsid w:val="009B31A9"/>
    <w:rsid w:val="009E0673"/>
    <w:rsid w:val="009E1CFD"/>
    <w:rsid w:val="00A03249"/>
    <w:rsid w:val="00A24F2C"/>
    <w:rsid w:val="00A4028E"/>
    <w:rsid w:val="00A4235D"/>
    <w:rsid w:val="00A44437"/>
    <w:rsid w:val="00A53B41"/>
    <w:rsid w:val="00A54FEB"/>
    <w:rsid w:val="00A57344"/>
    <w:rsid w:val="00A71C11"/>
    <w:rsid w:val="00A74F96"/>
    <w:rsid w:val="00A915BC"/>
    <w:rsid w:val="00AA6B56"/>
    <w:rsid w:val="00AE17D2"/>
    <w:rsid w:val="00AE765B"/>
    <w:rsid w:val="00B03CAC"/>
    <w:rsid w:val="00B37333"/>
    <w:rsid w:val="00B52FFD"/>
    <w:rsid w:val="00B60557"/>
    <w:rsid w:val="00B6434A"/>
    <w:rsid w:val="00BA0F93"/>
    <w:rsid w:val="00BA3D79"/>
    <w:rsid w:val="00BB3265"/>
    <w:rsid w:val="00BC3EA9"/>
    <w:rsid w:val="00BC6CC2"/>
    <w:rsid w:val="00BE7D66"/>
    <w:rsid w:val="00C128C2"/>
    <w:rsid w:val="00C14B97"/>
    <w:rsid w:val="00C214B2"/>
    <w:rsid w:val="00C31C7B"/>
    <w:rsid w:val="00C457A7"/>
    <w:rsid w:val="00C86EFD"/>
    <w:rsid w:val="00CA74B2"/>
    <w:rsid w:val="00CB6A5F"/>
    <w:rsid w:val="00CC34B5"/>
    <w:rsid w:val="00D00FFE"/>
    <w:rsid w:val="00D303FD"/>
    <w:rsid w:val="00D42C85"/>
    <w:rsid w:val="00D45EA8"/>
    <w:rsid w:val="00D57588"/>
    <w:rsid w:val="00D66F77"/>
    <w:rsid w:val="00D67A83"/>
    <w:rsid w:val="00D75F59"/>
    <w:rsid w:val="00D83C23"/>
    <w:rsid w:val="00D944CB"/>
    <w:rsid w:val="00DA3115"/>
    <w:rsid w:val="00DB0B7B"/>
    <w:rsid w:val="00DB79C3"/>
    <w:rsid w:val="00DC1675"/>
    <w:rsid w:val="00DE4EBD"/>
    <w:rsid w:val="00DF278D"/>
    <w:rsid w:val="00E15469"/>
    <w:rsid w:val="00E2151C"/>
    <w:rsid w:val="00E23582"/>
    <w:rsid w:val="00E37BC5"/>
    <w:rsid w:val="00E454F0"/>
    <w:rsid w:val="00E944CE"/>
    <w:rsid w:val="00EB6276"/>
    <w:rsid w:val="00EC3BDA"/>
    <w:rsid w:val="00EC41E1"/>
    <w:rsid w:val="00EC7B18"/>
    <w:rsid w:val="00F21DFC"/>
    <w:rsid w:val="00F21EDE"/>
    <w:rsid w:val="00F420F1"/>
    <w:rsid w:val="00FA231C"/>
    <w:rsid w:val="00FD5539"/>
    <w:rsid w:val="00FD73F4"/>
    <w:rsid w:val="00FF75B8"/>
    <w:rsid w:val="01664429"/>
    <w:rsid w:val="01B04CC0"/>
    <w:rsid w:val="021A19F4"/>
    <w:rsid w:val="03AE1F3D"/>
    <w:rsid w:val="04383715"/>
    <w:rsid w:val="062E3A05"/>
    <w:rsid w:val="06964A39"/>
    <w:rsid w:val="06E5FEB2"/>
    <w:rsid w:val="070E6A0C"/>
    <w:rsid w:val="09071E3A"/>
    <w:rsid w:val="0A7A46D0"/>
    <w:rsid w:val="0E0D1F34"/>
    <w:rsid w:val="0E59270B"/>
    <w:rsid w:val="0E673FB5"/>
    <w:rsid w:val="0FDC41D9"/>
    <w:rsid w:val="0FED2841"/>
    <w:rsid w:val="0FFFDD65"/>
    <w:rsid w:val="11BC62C4"/>
    <w:rsid w:val="12D56DBB"/>
    <w:rsid w:val="12F73E27"/>
    <w:rsid w:val="136B4FBB"/>
    <w:rsid w:val="13E8EADA"/>
    <w:rsid w:val="13FA0719"/>
    <w:rsid w:val="14A42BCD"/>
    <w:rsid w:val="14C90A3C"/>
    <w:rsid w:val="15BFF2EF"/>
    <w:rsid w:val="1653393E"/>
    <w:rsid w:val="1A5B1E1F"/>
    <w:rsid w:val="1ADA7D49"/>
    <w:rsid w:val="1AFFE029"/>
    <w:rsid w:val="1B857AF9"/>
    <w:rsid w:val="1B9F2022"/>
    <w:rsid w:val="1C0E7229"/>
    <w:rsid w:val="1CFE1A45"/>
    <w:rsid w:val="1D7A317C"/>
    <w:rsid w:val="1EBC0653"/>
    <w:rsid w:val="1EF9945C"/>
    <w:rsid w:val="1EFE18E6"/>
    <w:rsid w:val="1F7F9FC8"/>
    <w:rsid w:val="1FBFD364"/>
    <w:rsid w:val="1FFE6C0C"/>
    <w:rsid w:val="1FFFB55B"/>
    <w:rsid w:val="216E140E"/>
    <w:rsid w:val="21C662EA"/>
    <w:rsid w:val="237D7E41"/>
    <w:rsid w:val="23D71F40"/>
    <w:rsid w:val="25D53064"/>
    <w:rsid w:val="27FD3AB5"/>
    <w:rsid w:val="290D642E"/>
    <w:rsid w:val="2B46596C"/>
    <w:rsid w:val="2B693E6D"/>
    <w:rsid w:val="2BDF71FE"/>
    <w:rsid w:val="2BF5D8D0"/>
    <w:rsid w:val="2BFE843F"/>
    <w:rsid w:val="2CE4735D"/>
    <w:rsid w:val="2D121ED4"/>
    <w:rsid w:val="2D7DA859"/>
    <w:rsid w:val="2DB6514A"/>
    <w:rsid w:val="2DE77A40"/>
    <w:rsid w:val="2DF626E4"/>
    <w:rsid w:val="2EAF0C76"/>
    <w:rsid w:val="2F2F3A3B"/>
    <w:rsid w:val="2FDDC41B"/>
    <w:rsid w:val="2FF31D3C"/>
    <w:rsid w:val="2FFA6A72"/>
    <w:rsid w:val="2FFC5FC9"/>
    <w:rsid w:val="303C3716"/>
    <w:rsid w:val="310212C5"/>
    <w:rsid w:val="319D204F"/>
    <w:rsid w:val="33E75E85"/>
    <w:rsid w:val="34057CA4"/>
    <w:rsid w:val="345BBF2B"/>
    <w:rsid w:val="35DD476F"/>
    <w:rsid w:val="35F9779C"/>
    <w:rsid w:val="36BC568D"/>
    <w:rsid w:val="374E1B9A"/>
    <w:rsid w:val="379F3FDB"/>
    <w:rsid w:val="3803673F"/>
    <w:rsid w:val="38F6A681"/>
    <w:rsid w:val="39FDC496"/>
    <w:rsid w:val="3A7D26AD"/>
    <w:rsid w:val="3AED7518"/>
    <w:rsid w:val="3B2E0F21"/>
    <w:rsid w:val="3BA3D394"/>
    <w:rsid w:val="3BDFE508"/>
    <w:rsid w:val="3C1D3326"/>
    <w:rsid w:val="3C2FFB70"/>
    <w:rsid w:val="3CCB3063"/>
    <w:rsid w:val="3D3CF292"/>
    <w:rsid w:val="3D6D08F7"/>
    <w:rsid w:val="3E7E6D1E"/>
    <w:rsid w:val="3F7F6169"/>
    <w:rsid w:val="3F9F7D3C"/>
    <w:rsid w:val="3FBF388A"/>
    <w:rsid w:val="3FEAF056"/>
    <w:rsid w:val="3FF42A48"/>
    <w:rsid w:val="3FF62F02"/>
    <w:rsid w:val="3FFD1C1E"/>
    <w:rsid w:val="3FFF0EBF"/>
    <w:rsid w:val="402C6359"/>
    <w:rsid w:val="4074567F"/>
    <w:rsid w:val="407459F5"/>
    <w:rsid w:val="40F06F8D"/>
    <w:rsid w:val="41190712"/>
    <w:rsid w:val="41E45413"/>
    <w:rsid w:val="42291083"/>
    <w:rsid w:val="4287319D"/>
    <w:rsid w:val="45803B65"/>
    <w:rsid w:val="466C2D04"/>
    <w:rsid w:val="466E2D5B"/>
    <w:rsid w:val="46AC2FB7"/>
    <w:rsid w:val="4777F0BE"/>
    <w:rsid w:val="47AE53FB"/>
    <w:rsid w:val="47AFFB52"/>
    <w:rsid w:val="47FA49B1"/>
    <w:rsid w:val="48371BB5"/>
    <w:rsid w:val="493901C1"/>
    <w:rsid w:val="495D248D"/>
    <w:rsid w:val="4A9266B1"/>
    <w:rsid w:val="4AC6279B"/>
    <w:rsid w:val="4AEFA511"/>
    <w:rsid w:val="4AFA77E8"/>
    <w:rsid w:val="4B8C6A4A"/>
    <w:rsid w:val="4DBE9C07"/>
    <w:rsid w:val="4DC25600"/>
    <w:rsid w:val="4DE34B00"/>
    <w:rsid w:val="4E730807"/>
    <w:rsid w:val="4FBFB779"/>
    <w:rsid w:val="4FE734BA"/>
    <w:rsid w:val="4FF82452"/>
    <w:rsid w:val="4FFA9A43"/>
    <w:rsid w:val="4FFE2F9B"/>
    <w:rsid w:val="50FF62F5"/>
    <w:rsid w:val="51AFED19"/>
    <w:rsid w:val="51D26EE6"/>
    <w:rsid w:val="51DDFC4A"/>
    <w:rsid w:val="51F63C8E"/>
    <w:rsid w:val="51FB0741"/>
    <w:rsid w:val="51FED7AB"/>
    <w:rsid w:val="52018526"/>
    <w:rsid w:val="53F6AF51"/>
    <w:rsid w:val="54769A7B"/>
    <w:rsid w:val="549F7853"/>
    <w:rsid w:val="55A26E79"/>
    <w:rsid w:val="55F149E5"/>
    <w:rsid w:val="563FF75B"/>
    <w:rsid w:val="56FDC382"/>
    <w:rsid w:val="57C64C58"/>
    <w:rsid w:val="57EA5624"/>
    <w:rsid w:val="58094FB8"/>
    <w:rsid w:val="589E33C6"/>
    <w:rsid w:val="5977166F"/>
    <w:rsid w:val="59AD743C"/>
    <w:rsid w:val="5A9E5E42"/>
    <w:rsid w:val="5BDFC752"/>
    <w:rsid w:val="5BFBF7BA"/>
    <w:rsid w:val="5C7F35DA"/>
    <w:rsid w:val="5CCE5542"/>
    <w:rsid w:val="5CE5C715"/>
    <w:rsid w:val="5D5256B6"/>
    <w:rsid w:val="5D84D39E"/>
    <w:rsid w:val="5DBFD335"/>
    <w:rsid w:val="5DE9FC34"/>
    <w:rsid w:val="5E352A6E"/>
    <w:rsid w:val="5E6FC11F"/>
    <w:rsid w:val="5EF7689A"/>
    <w:rsid w:val="5EFA7CCD"/>
    <w:rsid w:val="5F2FD1C7"/>
    <w:rsid w:val="5F89C7F6"/>
    <w:rsid w:val="5F9A73EB"/>
    <w:rsid w:val="5FB5FDD8"/>
    <w:rsid w:val="5FBEFD27"/>
    <w:rsid w:val="5FCC5B82"/>
    <w:rsid w:val="5FF76865"/>
    <w:rsid w:val="5FFBDB6F"/>
    <w:rsid w:val="5FFF2D68"/>
    <w:rsid w:val="5FFF5DB7"/>
    <w:rsid w:val="600249B6"/>
    <w:rsid w:val="61DE63C8"/>
    <w:rsid w:val="62F25AFF"/>
    <w:rsid w:val="638B64E7"/>
    <w:rsid w:val="65271A92"/>
    <w:rsid w:val="65391DCE"/>
    <w:rsid w:val="655D0359"/>
    <w:rsid w:val="669ECE80"/>
    <w:rsid w:val="676EB02E"/>
    <w:rsid w:val="67781928"/>
    <w:rsid w:val="67D3A5C3"/>
    <w:rsid w:val="67F876D4"/>
    <w:rsid w:val="67FA1D2A"/>
    <w:rsid w:val="68333BEB"/>
    <w:rsid w:val="683B2964"/>
    <w:rsid w:val="6A5E9ECC"/>
    <w:rsid w:val="6ABB5313"/>
    <w:rsid w:val="6B3B1EC0"/>
    <w:rsid w:val="6BCD5A19"/>
    <w:rsid w:val="6BE15CCD"/>
    <w:rsid w:val="6BF72868"/>
    <w:rsid w:val="6BF781A8"/>
    <w:rsid w:val="6CE84948"/>
    <w:rsid w:val="6CFF9758"/>
    <w:rsid w:val="6D3D3D6D"/>
    <w:rsid w:val="6DA92A14"/>
    <w:rsid w:val="6DE6C968"/>
    <w:rsid w:val="6E1D29E5"/>
    <w:rsid w:val="6EF014DA"/>
    <w:rsid w:val="6EF792CA"/>
    <w:rsid w:val="6F190F9A"/>
    <w:rsid w:val="6F3DCDF6"/>
    <w:rsid w:val="6F7F7613"/>
    <w:rsid w:val="6FD783F1"/>
    <w:rsid w:val="6FD7CFAA"/>
    <w:rsid w:val="6FDEAFA9"/>
    <w:rsid w:val="6FE9C177"/>
    <w:rsid w:val="6FECBF77"/>
    <w:rsid w:val="6FFA0457"/>
    <w:rsid w:val="6FFABF49"/>
    <w:rsid w:val="6FFB06E1"/>
    <w:rsid w:val="6FFF6154"/>
    <w:rsid w:val="71BC5E12"/>
    <w:rsid w:val="71E371B8"/>
    <w:rsid w:val="72622208"/>
    <w:rsid w:val="736B8BD8"/>
    <w:rsid w:val="736D1CD1"/>
    <w:rsid w:val="739DA33B"/>
    <w:rsid w:val="73BA0657"/>
    <w:rsid w:val="73D155FD"/>
    <w:rsid w:val="73FABB7F"/>
    <w:rsid w:val="7472C724"/>
    <w:rsid w:val="74F7BA8C"/>
    <w:rsid w:val="759F8AB1"/>
    <w:rsid w:val="75C77309"/>
    <w:rsid w:val="75EF66F2"/>
    <w:rsid w:val="75FA1153"/>
    <w:rsid w:val="75FE08D5"/>
    <w:rsid w:val="762C5158"/>
    <w:rsid w:val="7636617F"/>
    <w:rsid w:val="76914FF6"/>
    <w:rsid w:val="76CF58BA"/>
    <w:rsid w:val="76E616D1"/>
    <w:rsid w:val="775F3AEC"/>
    <w:rsid w:val="7773B64F"/>
    <w:rsid w:val="779FA35A"/>
    <w:rsid w:val="77BED342"/>
    <w:rsid w:val="77DF7127"/>
    <w:rsid w:val="77DF80F3"/>
    <w:rsid w:val="77E93FA3"/>
    <w:rsid w:val="77FF6367"/>
    <w:rsid w:val="78607071"/>
    <w:rsid w:val="78CEF12A"/>
    <w:rsid w:val="78FBFAC6"/>
    <w:rsid w:val="795DF682"/>
    <w:rsid w:val="79FFA308"/>
    <w:rsid w:val="7A1F96B2"/>
    <w:rsid w:val="7A3F9F5D"/>
    <w:rsid w:val="7A3FCF40"/>
    <w:rsid w:val="7ABE38AA"/>
    <w:rsid w:val="7B6A4641"/>
    <w:rsid w:val="7B7FB622"/>
    <w:rsid w:val="7B7FB73E"/>
    <w:rsid w:val="7B9B87B1"/>
    <w:rsid w:val="7BAADC91"/>
    <w:rsid w:val="7BAFCC7A"/>
    <w:rsid w:val="7BB3B584"/>
    <w:rsid w:val="7BBFA7FA"/>
    <w:rsid w:val="7BBFBD2A"/>
    <w:rsid w:val="7BD955D3"/>
    <w:rsid w:val="7BDD0B93"/>
    <w:rsid w:val="7BDE677C"/>
    <w:rsid w:val="7BF70AA6"/>
    <w:rsid w:val="7BFBD6ED"/>
    <w:rsid w:val="7BFE1565"/>
    <w:rsid w:val="7BFF3A83"/>
    <w:rsid w:val="7C476DDC"/>
    <w:rsid w:val="7C7BC27C"/>
    <w:rsid w:val="7DC9683B"/>
    <w:rsid w:val="7DDF2938"/>
    <w:rsid w:val="7DF551BF"/>
    <w:rsid w:val="7DFDDCDD"/>
    <w:rsid w:val="7DFE999E"/>
    <w:rsid w:val="7EBE8A98"/>
    <w:rsid w:val="7EF44A2E"/>
    <w:rsid w:val="7EF5744A"/>
    <w:rsid w:val="7EF6634E"/>
    <w:rsid w:val="7F0FBEEC"/>
    <w:rsid w:val="7F1F3A7A"/>
    <w:rsid w:val="7F374063"/>
    <w:rsid w:val="7F3B50BA"/>
    <w:rsid w:val="7F6B5540"/>
    <w:rsid w:val="7F6B82A8"/>
    <w:rsid w:val="7F6DA357"/>
    <w:rsid w:val="7F6FE2F0"/>
    <w:rsid w:val="7F7D58EC"/>
    <w:rsid w:val="7F7DD041"/>
    <w:rsid w:val="7F87CEBF"/>
    <w:rsid w:val="7F97C807"/>
    <w:rsid w:val="7F9BA864"/>
    <w:rsid w:val="7FB53594"/>
    <w:rsid w:val="7FBF2829"/>
    <w:rsid w:val="7FCFF053"/>
    <w:rsid w:val="7FD6D5A7"/>
    <w:rsid w:val="7FDC031E"/>
    <w:rsid w:val="7FDE83D4"/>
    <w:rsid w:val="7FDF79BE"/>
    <w:rsid w:val="7FDFDF9D"/>
    <w:rsid w:val="7FEEF3D8"/>
    <w:rsid w:val="7FF394FD"/>
    <w:rsid w:val="7FF62B50"/>
    <w:rsid w:val="7FF7C6F7"/>
    <w:rsid w:val="7FF7DAF2"/>
    <w:rsid w:val="7FFB80E6"/>
    <w:rsid w:val="7FFDA830"/>
    <w:rsid w:val="7FFF9198"/>
    <w:rsid w:val="8BFA2710"/>
    <w:rsid w:val="8CFF148F"/>
    <w:rsid w:val="93D799F3"/>
    <w:rsid w:val="97FC8E83"/>
    <w:rsid w:val="9AEE48FC"/>
    <w:rsid w:val="9AFDF9AC"/>
    <w:rsid w:val="9B768B64"/>
    <w:rsid w:val="9B7F3547"/>
    <w:rsid w:val="9BEF834A"/>
    <w:rsid w:val="9D4B5CFF"/>
    <w:rsid w:val="9D8F8BC8"/>
    <w:rsid w:val="9DF68272"/>
    <w:rsid w:val="9ECFDF5C"/>
    <w:rsid w:val="9F3BA0F3"/>
    <w:rsid w:val="9FD3FE28"/>
    <w:rsid w:val="9FF34BB5"/>
    <w:rsid w:val="A09D6F2E"/>
    <w:rsid w:val="A7EE85E7"/>
    <w:rsid w:val="A9FA206D"/>
    <w:rsid w:val="ABBBCBA9"/>
    <w:rsid w:val="ACDF29AC"/>
    <w:rsid w:val="AEF3A5DA"/>
    <w:rsid w:val="AFFF6312"/>
    <w:rsid w:val="AFFFCB09"/>
    <w:rsid w:val="B1F7AB2A"/>
    <w:rsid w:val="B293022F"/>
    <w:rsid w:val="B30B383C"/>
    <w:rsid w:val="B3D01EA8"/>
    <w:rsid w:val="B3DE5322"/>
    <w:rsid w:val="B3FF3977"/>
    <w:rsid w:val="B4F74267"/>
    <w:rsid w:val="B57F41F8"/>
    <w:rsid w:val="B6FB3343"/>
    <w:rsid w:val="B6FE2863"/>
    <w:rsid w:val="B6FFACC1"/>
    <w:rsid w:val="B766CC96"/>
    <w:rsid w:val="B7B9671C"/>
    <w:rsid w:val="B8FAA494"/>
    <w:rsid w:val="B99F37D6"/>
    <w:rsid w:val="BA7B23C6"/>
    <w:rsid w:val="BAFF6379"/>
    <w:rsid w:val="BB75A8FE"/>
    <w:rsid w:val="BBB30A76"/>
    <w:rsid w:val="BBE34501"/>
    <w:rsid w:val="BBF71ECC"/>
    <w:rsid w:val="BBFBFDA2"/>
    <w:rsid w:val="BD43129F"/>
    <w:rsid w:val="BDD73FC0"/>
    <w:rsid w:val="BE1D5CE3"/>
    <w:rsid w:val="BE5E7DAB"/>
    <w:rsid w:val="BEFF6D6F"/>
    <w:rsid w:val="BEFF78C1"/>
    <w:rsid w:val="BF1F0F48"/>
    <w:rsid w:val="BF7F4EEC"/>
    <w:rsid w:val="BFB5BE68"/>
    <w:rsid w:val="BFBFFFC7"/>
    <w:rsid w:val="BFCF3992"/>
    <w:rsid w:val="BFDE864F"/>
    <w:rsid w:val="BFE746CA"/>
    <w:rsid w:val="BFEFA346"/>
    <w:rsid w:val="BFF99E14"/>
    <w:rsid w:val="BFFF36BC"/>
    <w:rsid w:val="C24F5EA7"/>
    <w:rsid w:val="C67F9F9A"/>
    <w:rsid w:val="CAB59E35"/>
    <w:rsid w:val="CBF670EE"/>
    <w:rsid w:val="CDE32922"/>
    <w:rsid w:val="CDFD4AF4"/>
    <w:rsid w:val="CDFF1F09"/>
    <w:rsid w:val="CEFDC3D5"/>
    <w:rsid w:val="CFB677F3"/>
    <w:rsid w:val="CFEFD040"/>
    <w:rsid w:val="CFF5FCDA"/>
    <w:rsid w:val="CFF7029A"/>
    <w:rsid w:val="D2DF9528"/>
    <w:rsid w:val="D3FF1AB6"/>
    <w:rsid w:val="D4FCC87E"/>
    <w:rsid w:val="D6AF5259"/>
    <w:rsid w:val="D79FCA08"/>
    <w:rsid w:val="D97B6A93"/>
    <w:rsid w:val="DB3F060C"/>
    <w:rsid w:val="DBDC7355"/>
    <w:rsid w:val="DBFE1B74"/>
    <w:rsid w:val="DC2F489E"/>
    <w:rsid w:val="DCAFACE3"/>
    <w:rsid w:val="DD2B0B36"/>
    <w:rsid w:val="DD56BF28"/>
    <w:rsid w:val="DE4F5B13"/>
    <w:rsid w:val="DEFBB559"/>
    <w:rsid w:val="DF6EB8B1"/>
    <w:rsid w:val="DF77B49A"/>
    <w:rsid w:val="DF77B93E"/>
    <w:rsid w:val="DFB92B87"/>
    <w:rsid w:val="DFD389F5"/>
    <w:rsid w:val="DFDE7462"/>
    <w:rsid w:val="DFF3C329"/>
    <w:rsid w:val="DFFC44C9"/>
    <w:rsid w:val="DFFE4BF9"/>
    <w:rsid w:val="DFFFD2C8"/>
    <w:rsid w:val="E3BFE29D"/>
    <w:rsid w:val="E4CC0E30"/>
    <w:rsid w:val="E61C2E69"/>
    <w:rsid w:val="E7970104"/>
    <w:rsid w:val="E7BFFE76"/>
    <w:rsid w:val="E7DE1298"/>
    <w:rsid w:val="E7DF698F"/>
    <w:rsid w:val="E7ECDA23"/>
    <w:rsid w:val="E97F9F48"/>
    <w:rsid w:val="E9B606C3"/>
    <w:rsid w:val="EAEF60B5"/>
    <w:rsid w:val="EB723114"/>
    <w:rsid w:val="ECFD7712"/>
    <w:rsid w:val="EDAF8CC3"/>
    <w:rsid w:val="EDD6C69A"/>
    <w:rsid w:val="EDDFB58A"/>
    <w:rsid w:val="EE7F69C0"/>
    <w:rsid w:val="EEBE2563"/>
    <w:rsid w:val="EEDF5069"/>
    <w:rsid w:val="EEEF984F"/>
    <w:rsid w:val="EEF3D570"/>
    <w:rsid w:val="EEFF487E"/>
    <w:rsid w:val="EF67FC39"/>
    <w:rsid w:val="EF75DE1C"/>
    <w:rsid w:val="EF7D810B"/>
    <w:rsid w:val="EF7F0754"/>
    <w:rsid w:val="EF7FBE6D"/>
    <w:rsid w:val="EFBF05B2"/>
    <w:rsid w:val="EFE75C4F"/>
    <w:rsid w:val="EFED825C"/>
    <w:rsid w:val="EFEF6766"/>
    <w:rsid w:val="EFF79A00"/>
    <w:rsid w:val="EFF9708D"/>
    <w:rsid w:val="EFFFAD9C"/>
    <w:rsid w:val="F19F2B43"/>
    <w:rsid w:val="F2FF0020"/>
    <w:rsid w:val="F36C9CF4"/>
    <w:rsid w:val="F3ABC933"/>
    <w:rsid w:val="F3FB0C3B"/>
    <w:rsid w:val="F3FF21BC"/>
    <w:rsid w:val="F4DFF2B3"/>
    <w:rsid w:val="F4FDEDBC"/>
    <w:rsid w:val="F533A1BC"/>
    <w:rsid w:val="F5FC88FA"/>
    <w:rsid w:val="F5FD332A"/>
    <w:rsid w:val="F5FF3E63"/>
    <w:rsid w:val="F5FFF60F"/>
    <w:rsid w:val="F676242B"/>
    <w:rsid w:val="F6FE0349"/>
    <w:rsid w:val="F6FF308D"/>
    <w:rsid w:val="F76F3042"/>
    <w:rsid w:val="F7DC495B"/>
    <w:rsid w:val="F7DE178D"/>
    <w:rsid w:val="F7E9B722"/>
    <w:rsid w:val="F7F7A7DC"/>
    <w:rsid w:val="F81173FC"/>
    <w:rsid w:val="F85FF7CD"/>
    <w:rsid w:val="F9ADA32B"/>
    <w:rsid w:val="F9F37BED"/>
    <w:rsid w:val="FB5B5FA8"/>
    <w:rsid w:val="FB766F7E"/>
    <w:rsid w:val="FBAF4F98"/>
    <w:rsid w:val="FBBD4FCB"/>
    <w:rsid w:val="FBBF3996"/>
    <w:rsid w:val="FBF54C66"/>
    <w:rsid w:val="FBF72D1D"/>
    <w:rsid w:val="FBFEDE6F"/>
    <w:rsid w:val="FBFFFB89"/>
    <w:rsid w:val="FC3CD86A"/>
    <w:rsid w:val="FCBD6C6E"/>
    <w:rsid w:val="FCDA17F4"/>
    <w:rsid w:val="FCEDB5EF"/>
    <w:rsid w:val="FD5FA9BD"/>
    <w:rsid w:val="FD9E7CB7"/>
    <w:rsid w:val="FDB76B2D"/>
    <w:rsid w:val="FDBF0C37"/>
    <w:rsid w:val="FDF33465"/>
    <w:rsid w:val="FDF729E5"/>
    <w:rsid w:val="FDFE4D16"/>
    <w:rsid w:val="FDFFFF5C"/>
    <w:rsid w:val="FE0FCD8B"/>
    <w:rsid w:val="FE3D3C7F"/>
    <w:rsid w:val="FE734873"/>
    <w:rsid w:val="FE7F0C65"/>
    <w:rsid w:val="FEFBE768"/>
    <w:rsid w:val="FEFCCA5D"/>
    <w:rsid w:val="FF361EE8"/>
    <w:rsid w:val="FF37FDEA"/>
    <w:rsid w:val="FF55A708"/>
    <w:rsid w:val="FF77296D"/>
    <w:rsid w:val="FF7D1D9F"/>
    <w:rsid w:val="FF7E1CAB"/>
    <w:rsid w:val="FF877B0D"/>
    <w:rsid w:val="FF979EF4"/>
    <w:rsid w:val="FFB1A944"/>
    <w:rsid w:val="FFBAB199"/>
    <w:rsid w:val="FFBE91CE"/>
    <w:rsid w:val="FFCE0B42"/>
    <w:rsid w:val="FFDE2721"/>
    <w:rsid w:val="FFEDDCA1"/>
    <w:rsid w:val="FFF7DD25"/>
    <w:rsid w:val="FFF9B743"/>
    <w:rsid w:val="FFFD0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0" w:after="0" w:afterAutospacing="0"/>
      <w:ind w:firstLine="880" w:firstLineChars="200"/>
      <w:jc w:val="both"/>
      <w:outlineLvl w:val="1"/>
    </w:pPr>
    <w:rPr>
      <w:rFonts w:hint="eastAsia" w:ascii="Times New Roman" w:hAnsi="Times New Roman" w:eastAsia="楷体" w:cs="Times New Roman"/>
      <w:b/>
      <w:kern w:val="0"/>
      <w:szCs w:val="36"/>
      <w:lang w:bidi="ar"/>
    </w:rPr>
  </w:style>
  <w:style w:type="paragraph" w:styleId="3">
    <w:name w:val="heading 3"/>
    <w:basedOn w:val="1"/>
    <w:next w:val="1"/>
    <w:link w:val="12"/>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character" w:customStyle="1" w:styleId="12">
    <w:name w:val="标题 3 Char"/>
    <w:basedOn w:val="10"/>
    <w:link w:val="3"/>
    <w:qFormat/>
    <w:uiPriority w:val="0"/>
    <w:rPr>
      <w:rFonts w:ascii="宋体" w:hAnsi="宋体"/>
      <w:b/>
      <w:kern w:val="2"/>
      <w:sz w:val="27"/>
    </w:rPr>
  </w:style>
  <w:style w:type="character" w:customStyle="1" w:styleId="13">
    <w:name w:val="批注框文本 Char"/>
    <w:basedOn w:val="10"/>
    <w:link w:val="5"/>
    <w:qFormat/>
    <w:uiPriority w:val="0"/>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页眉 Char"/>
    <w:basedOn w:val="10"/>
    <w:link w:val="7"/>
    <w:qFormat/>
    <w:uiPriority w:val="0"/>
    <w:rPr>
      <w:kern w:val="2"/>
      <w:sz w:val="18"/>
      <w:szCs w:val="18"/>
    </w:rPr>
  </w:style>
  <w:style w:type="paragraph" w:styleId="16">
    <w:name w:val="List Paragraph"/>
    <w:basedOn w:val="1"/>
    <w:unhideWhenUsed/>
    <w:qFormat/>
    <w:uiPriority w:val="99"/>
    <w:pPr>
      <w:ind w:firstLine="420" w:firstLineChars="200"/>
    </w:pPr>
  </w:style>
  <w:style w:type="paragraph" w:customStyle="1" w:styleId="17">
    <w:name w:val="msolist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13</Pages>
  <Words>6287</Words>
  <Characters>6601</Characters>
  <Lines>45</Lines>
  <Paragraphs>12</Paragraphs>
  <TotalTime>3.33333333333333</TotalTime>
  <ScaleCrop>false</ScaleCrop>
  <LinksUpToDate>false</LinksUpToDate>
  <CharactersWithSpaces>6742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2021-04-24T07:21:00Z</dcterms:created>
  <dc:creator>刘妍彤</dc:creator>
  <cp:lastModifiedBy>WANGQW</cp:lastModifiedBy>
  <cp:lastPrinted>2024-04-18T17:02:00Z</cp:lastPrinted>
  <dcterms:modified xsi:type="dcterms:W3CDTF">2024-05-14T14:42:01Z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3E526E1DAC47E0F2B90743661DE967E4</vt:lpwstr>
  </property>
</Properties>
</file>