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jc w:val="center"/>
        <w:textAlignment w:val="auto"/>
        <w:outlineLvl w:val="0"/>
        <w:rPr>
          <w:rFonts w:hint="eastAsia" w:ascii="方正小标宋_GBK" w:hAnsi="方正小标宋_GBK" w:eastAsia="方正小标宋_GBK" w:cs="方正小标宋_GBK"/>
          <w:color w:val="000000"/>
          <w:kern w:val="0"/>
          <w:sz w:val="44"/>
          <w:szCs w:val="44"/>
          <w:lang w:val="en-US" w:eastAsia="zh-CN" w:bidi="ar"/>
        </w:rPr>
      </w:pPr>
      <w:bookmarkStart w:id="19" w:name="_GoBack"/>
      <w:bookmarkEnd w:id="19"/>
      <w:bookmarkStart w:id="0" w:name="_Toc726306032"/>
      <w:r>
        <w:rPr>
          <w:rFonts w:hint="eastAsia" w:ascii="方正小标宋_GBK" w:hAnsi="方正小标宋_GBK" w:eastAsia="方正小标宋_GBK" w:cs="方正小标宋_GBK"/>
          <w:color w:val="000000"/>
          <w:kern w:val="0"/>
          <w:sz w:val="44"/>
          <w:szCs w:val="44"/>
          <w:lang w:val="en-US" w:eastAsia="zh-CN" w:bidi="ar"/>
        </w:rPr>
        <w:t>深圳市福田区支持软件和信息技术服务业</w:t>
      </w:r>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jc w:val="center"/>
        <w:textAlignment w:val="auto"/>
        <w:outlineLvl w:val="0"/>
        <w:rPr>
          <w:rFonts w:hint="eastAsia" w:ascii="方正小标宋_GBK" w:hAnsi="方正小标宋_GBK" w:eastAsia="方正小标宋_GBK" w:cs="方正小标宋_GBK"/>
          <w:color w:val="000000"/>
          <w:kern w:val="0"/>
          <w:sz w:val="44"/>
          <w:szCs w:val="44"/>
          <w:lang w:val="en-US" w:eastAsia="zh-CN" w:bidi="ar"/>
        </w:rPr>
      </w:pPr>
      <w:bookmarkStart w:id="1" w:name="_Toc1005790289"/>
      <w:bookmarkStart w:id="2" w:name="_Toc20322"/>
      <w:r>
        <w:rPr>
          <w:rFonts w:hint="eastAsia" w:ascii="方正小标宋_GBK" w:hAnsi="方正小标宋_GBK" w:eastAsia="方正小标宋_GBK" w:cs="方正小标宋_GBK"/>
          <w:color w:val="000000"/>
          <w:kern w:val="0"/>
          <w:sz w:val="44"/>
          <w:szCs w:val="44"/>
          <w:lang w:val="en-US" w:eastAsia="zh-CN" w:bidi="ar"/>
        </w:rPr>
        <w:t>高质量发展若干措施（征求意见稿）</w:t>
      </w:r>
      <w:bookmarkEnd w:id="1"/>
      <w:bookmarkEnd w:id="2"/>
    </w:p>
    <w:p>
      <w:pPr>
        <w:pageBreakBefore w:val="0"/>
        <w:widowControl w:val="0"/>
        <w:kinsoku/>
        <w:wordWrap/>
        <w:topLinePunct w:val="0"/>
        <w:bidi w:val="0"/>
        <w:spacing w:beforeAutospacing="0" w:afterAutospacing="0" w:line="560" w:lineRule="exact"/>
        <w:ind w:left="0" w:leftChars="0" w:firstLine="640"/>
        <w:textAlignment w:val="auto"/>
        <w:rPr>
          <w:rFonts w:hint="eastAsia" w:ascii="仿宋_GB2312" w:hAnsi="仿宋_GB2312" w:eastAsia="仿宋_GB2312" w:cs="仿宋_GB2312"/>
          <w:sz w:val="32"/>
          <w:szCs w:val="32"/>
        </w:rPr>
      </w:pPr>
    </w:p>
    <w:p>
      <w:pPr>
        <w:pageBreakBefore w:val="0"/>
        <w:widowControl w:val="0"/>
        <w:kinsoku/>
        <w:wordWrap/>
        <w:topLinePunct w:val="0"/>
        <w:bidi w:val="0"/>
        <w:spacing w:beforeAutospacing="0" w:afterAutospacing="0" w:line="560" w:lineRule="exact"/>
        <w:ind w:left="0" w:lef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为贯彻落实《深圳市人民政府关于发展壮大战略性新兴产业集群和培育发展未来产业的意见》《深圳市推动软件产业高质量发展的若干措施》等文件精神，推动福田区软件产业高质量发展，</w:t>
      </w:r>
      <w:r>
        <w:rPr>
          <w:rFonts w:hint="eastAsia" w:ascii="仿宋_GB2312" w:hAnsi="仿宋_GB2312" w:eastAsia="仿宋_GB2312" w:cs="仿宋_GB2312"/>
          <w:sz w:val="32"/>
          <w:szCs w:val="32"/>
          <w:lang w:val="en-US" w:eastAsia="zh-CN"/>
        </w:rPr>
        <w:t>特</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val="en-US" w:eastAsia="zh-CN"/>
        </w:rPr>
        <w:t>以下</w:t>
      </w:r>
      <w:r>
        <w:rPr>
          <w:rFonts w:hint="eastAsia" w:ascii="仿宋_GB2312" w:hAnsi="仿宋_GB2312" w:eastAsia="仿宋_GB2312" w:cs="仿宋_GB2312"/>
          <w:sz w:val="32"/>
          <w:szCs w:val="32"/>
        </w:rPr>
        <w:t>措施。</w:t>
      </w:r>
    </w:p>
    <w:p>
      <w:pPr>
        <w:pageBreakBefore w:val="0"/>
        <w:widowControl w:val="0"/>
        <w:kinsoku/>
        <w:wordWrap/>
        <w:topLinePunct w:val="0"/>
        <w:bidi w:val="0"/>
        <w:spacing w:beforeAutospacing="0" w:afterAutospacing="0" w:line="560" w:lineRule="exact"/>
        <w:ind w:left="0" w:leftChars="0" w:firstLine="640"/>
        <w:textAlignment w:val="auto"/>
        <w:rPr>
          <w:rFonts w:hint="eastAsia" w:ascii="黑体" w:hAnsi="黑体" w:eastAsia="黑体" w:cs="黑体"/>
          <w:kern w:val="36"/>
          <w:sz w:val="32"/>
          <w:szCs w:val="32"/>
          <w:lang w:eastAsia="zh-CN"/>
        </w:rPr>
      </w:pPr>
      <w:r>
        <w:rPr>
          <w:rFonts w:hint="eastAsia" w:ascii="黑体" w:hAnsi="黑体" w:eastAsia="黑体" w:cs="黑体"/>
          <w:kern w:val="36"/>
          <w:sz w:val="32"/>
          <w:szCs w:val="32"/>
        </w:rPr>
        <w:t xml:space="preserve">第一条 </w:t>
      </w:r>
      <w:r>
        <w:rPr>
          <w:rFonts w:hint="eastAsia" w:ascii="黑体" w:hAnsi="黑体" w:eastAsia="黑体" w:cs="黑体"/>
          <w:kern w:val="36"/>
          <w:sz w:val="32"/>
          <w:szCs w:val="32"/>
          <w:lang w:eastAsia="zh-CN"/>
        </w:rPr>
        <w:t>软件企业孵化支持</w:t>
      </w:r>
    </w:p>
    <w:p>
      <w:pPr>
        <w:pageBreakBefore w:val="0"/>
        <w:widowControl w:val="0"/>
        <w:kinsoku/>
        <w:wordWrap/>
        <w:topLinePunct w:val="0"/>
        <w:bidi w:val="0"/>
        <w:spacing w:beforeAutospacing="0" w:afterAutospacing="0" w:line="560" w:lineRule="exact"/>
        <w:ind w:left="0" w:lef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鼓励区内大型企业在条件成熟的情况下，将软件业务剥离并成立具有独立法人资格的软件企业。对剥离出的软件和互联网企业，依条件给予最高2500万元</w:t>
      </w:r>
      <w:r>
        <w:rPr>
          <w:rFonts w:hint="eastAsia" w:ascii="仿宋_GB2312" w:hAnsi="仿宋_GB2312" w:eastAsia="仿宋_GB2312" w:cs="仿宋_GB2312"/>
          <w:sz w:val="32"/>
          <w:szCs w:val="32"/>
          <w:lang w:val="en-US" w:eastAsia="zh-CN"/>
        </w:rPr>
        <w:t>支持</w:t>
      </w:r>
      <w:r>
        <w:rPr>
          <w:rFonts w:hint="eastAsia" w:ascii="仿宋_GB2312" w:hAnsi="仿宋_GB2312" w:eastAsia="仿宋_GB2312" w:cs="仿宋_GB2312"/>
          <w:sz w:val="32"/>
          <w:szCs w:val="32"/>
        </w:rPr>
        <w:t>。</w:t>
      </w:r>
    </w:p>
    <w:p>
      <w:pPr>
        <w:pageBreakBefore w:val="0"/>
        <w:widowControl w:val="0"/>
        <w:kinsoku/>
        <w:wordWrap/>
        <w:topLinePunct w:val="0"/>
        <w:bidi w:val="0"/>
        <w:spacing w:beforeAutospacing="0" w:afterAutospacing="0" w:line="560" w:lineRule="exact"/>
        <w:ind w:left="0" w:leftChars="0" w:firstLine="640"/>
        <w:textAlignment w:val="auto"/>
        <w:rPr>
          <w:rFonts w:hint="eastAsia" w:ascii="黑体" w:hAnsi="黑体" w:eastAsia="黑体" w:cs="黑体"/>
          <w:kern w:val="36"/>
          <w:sz w:val="32"/>
          <w:szCs w:val="32"/>
        </w:rPr>
      </w:pPr>
      <w:r>
        <w:rPr>
          <w:rFonts w:hint="eastAsia" w:ascii="黑体" w:hAnsi="黑体" w:eastAsia="黑体" w:cs="黑体"/>
          <w:kern w:val="36"/>
          <w:sz w:val="32"/>
          <w:szCs w:val="32"/>
        </w:rPr>
        <w:t>第二条 产业空间支持</w:t>
      </w:r>
    </w:p>
    <w:p>
      <w:pPr>
        <w:pageBreakBefore w:val="0"/>
        <w:widowControl w:val="0"/>
        <w:kinsoku/>
        <w:wordWrap/>
        <w:topLinePunct w:val="0"/>
        <w:bidi w:val="0"/>
        <w:spacing w:beforeAutospacing="0" w:afterAutospacing="0" w:line="560" w:lineRule="exact"/>
        <w:ind w:left="0" w:lef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kern w:val="2"/>
          <w:sz w:val="32"/>
          <w:szCs w:val="32"/>
          <w:highlight w:val="none"/>
          <w:u w:val="none" w:color="auto"/>
          <w:lang w:val="en-US" w:eastAsia="zh-CN" w:bidi="ar-SA"/>
        </w:rPr>
        <w:t>（一）软件名园运营支持。</w:t>
      </w:r>
      <w:r>
        <w:rPr>
          <w:rFonts w:hint="eastAsia" w:ascii="仿宋_GB2312" w:hAnsi="仿宋_GB2312" w:eastAsia="仿宋_GB2312" w:cs="仿宋_GB2312"/>
          <w:sz w:val="32"/>
          <w:szCs w:val="32"/>
        </w:rPr>
        <w:t>对于被认定为国家级、省级、市级软件名园（基地）的软件园区，</w:t>
      </w:r>
      <w:r>
        <w:rPr>
          <w:rFonts w:hint="eastAsia" w:ascii="仿宋_GB2312" w:hAnsi="仿宋_GB2312" w:eastAsia="仿宋_GB2312" w:cs="仿宋_GB2312"/>
          <w:sz w:val="32"/>
          <w:szCs w:val="32"/>
          <w:lang w:eastAsia="zh-CN"/>
        </w:rPr>
        <w:t>依条件</w:t>
      </w:r>
      <w:r>
        <w:rPr>
          <w:rFonts w:hint="eastAsia" w:ascii="仿宋_GB2312" w:hAnsi="仿宋_GB2312" w:eastAsia="仿宋_GB2312" w:cs="仿宋_GB2312"/>
          <w:sz w:val="32"/>
          <w:szCs w:val="32"/>
        </w:rPr>
        <w:t>给予运营主体最高200万元奖励。</w:t>
      </w:r>
    </w:p>
    <w:p>
      <w:pPr>
        <w:pageBreakBefore w:val="0"/>
        <w:widowControl w:val="0"/>
        <w:kinsoku/>
        <w:wordWrap/>
        <w:topLinePunct w:val="0"/>
        <w:bidi w:val="0"/>
        <w:spacing w:beforeAutospacing="0" w:afterAutospacing="0" w:line="560" w:lineRule="exact"/>
        <w:ind w:left="0" w:leftChars="0"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Cs w:val="0"/>
          <w:color w:val="auto"/>
          <w:kern w:val="2"/>
          <w:sz w:val="32"/>
          <w:szCs w:val="32"/>
          <w:highlight w:val="none"/>
          <w:u w:val="none" w:color="auto"/>
          <w:lang w:val="en-US" w:eastAsia="zh-CN" w:bidi="ar-SA"/>
        </w:rPr>
        <w:t>（二）政府物业支持。</w:t>
      </w:r>
      <w:r>
        <w:rPr>
          <w:rFonts w:hint="eastAsia" w:ascii="仿宋_GB2312" w:hAnsi="仿宋_GB2312" w:eastAsia="仿宋_GB2312" w:cs="仿宋_GB2312"/>
          <w:sz w:val="32"/>
          <w:szCs w:val="32"/>
        </w:rPr>
        <w:t>新落户的软件企业，可按市场评估价的40%使用政府产业用房，</w:t>
      </w:r>
      <w:r>
        <w:rPr>
          <w:rFonts w:hint="eastAsia" w:ascii="仿宋_GB2312" w:hAnsi="仿宋_GB2312" w:eastAsia="仿宋_GB2312" w:cs="仿宋_GB2312"/>
          <w:sz w:val="32"/>
          <w:szCs w:val="32"/>
          <w:lang w:eastAsia="zh-CN"/>
        </w:rPr>
        <w:t>依条件</w:t>
      </w:r>
      <w:r>
        <w:rPr>
          <w:rFonts w:hint="eastAsia" w:ascii="仿宋_GB2312" w:hAnsi="仿宋_GB2312" w:eastAsia="仿宋_GB2312" w:cs="仿宋_GB2312"/>
          <w:sz w:val="32"/>
          <w:szCs w:val="32"/>
        </w:rPr>
        <w:t>最高可</w:t>
      </w:r>
      <w:r>
        <w:rPr>
          <w:rFonts w:hint="eastAsia" w:ascii="仿宋_GB2312" w:hAnsi="仿宋_GB2312" w:eastAsia="仿宋_GB2312" w:cs="仿宋_GB2312"/>
          <w:sz w:val="32"/>
          <w:szCs w:val="32"/>
          <w:lang w:eastAsia="zh-CN"/>
        </w:rPr>
        <w:t>给予</w:t>
      </w:r>
      <w:r>
        <w:rPr>
          <w:rFonts w:hint="eastAsia" w:ascii="仿宋_GB2312" w:hAnsi="仿宋_GB2312" w:eastAsia="仿宋_GB2312" w:cs="仿宋_GB2312"/>
          <w:sz w:val="32"/>
          <w:szCs w:val="32"/>
        </w:rPr>
        <w:t>全额租金补贴</w:t>
      </w:r>
      <w:r>
        <w:rPr>
          <w:rFonts w:hint="eastAsia" w:ascii="仿宋_GB2312" w:hAnsi="仿宋_GB2312" w:eastAsia="仿宋_GB2312" w:cs="仿宋_GB2312"/>
          <w:sz w:val="32"/>
          <w:szCs w:val="32"/>
          <w:lang w:eastAsia="zh-CN"/>
        </w:rPr>
        <w:t>。</w:t>
      </w:r>
    </w:p>
    <w:p>
      <w:pPr>
        <w:pageBreakBefore w:val="0"/>
        <w:widowControl w:val="0"/>
        <w:kinsoku/>
        <w:wordWrap/>
        <w:topLinePunct w:val="0"/>
        <w:bidi w:val="0"/>
        <w:spacing w:beforeAutospacing="0" w:afterAutospacing="0" w:line="560" w:lineRule="exact"/>
        <w:ind w:left="0" w:lef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kern w:val="2"/>
          <w:sz w:val="32"/>
          <w:szCs w:val="32"/>
          <w:highlight w:val="none"/>
          <w:u w:val="none" w:color="auto"/>
          <w:lang w:val="en-US" w:eastAsia="zh-CN" w:bidi="ar-SA"/>
        </w:rPr>
        <w:t>（三）社会物业支持。</w:t>
      </w:r>
      <w:r>
        <w:rPr>
          <w:rFonts w:hint="eastAsia" w:ascii="仿宋_GB2312" w:hAnsi="仿宋_GB2312" w:eastAsia="仿宋_GB2312" w:cs="仿宋_GB2312"/>
          <w:sz w:val="32"/>
          <w:szCs w:val="32"/>
        </w:rPr>
        <w:t>租赁社会物业的</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lang w:eastAsia="zh-CN"/>
        </w:rPr>
        <w:t>，依条件</w:t>
      </w:r>
      <w:r>
        <w:rPr>
          <w:rFonts w:hint="eastAsia" w:ascii="仿宋_GB2312" w:hAnsi="仿宋_GB2312" w:eastAsia="仿宋_GB2312" w:cs="仿宋_GB2312"/>
          <w:sz w:val="32"/>
          <w:szCs w:val="32"/>
        </w:rPr>
        <w:t>给予最高1000万元租赁补贴。</w:t>
      </w:r>
    </w:p>
    <w:p>
      <w:pPr>
        <w:pageBreakBefore w:val="0"/>
        <w:widowControl w:val="0"/>
        <w:kinsoku/>
        <w:wordWrap/>
        <w:topLinePunct w:val="0"/>
        <w:bidi w:val="0"/>
        <w:spacing w:beforeAutospacing="0" w:afterAutospacing="0" w:line="560" w:lineRule="exact"/>
        <w:ind w:left="0" w:leftChars="0" w:firstLine="640"/>
        <w:textAlignment w:val="auto"/>
        <w:rPr>
          <w:rFonts w:hint="eastAsia" w:ascii="黑体" w:hAnsi="黑体" w:eastAsia="黑体" w:cs="黑体"/>
          <w:kern w:val="36"/>
          <w:sz w:val="32"/>
          <w:szCs w:val="32"/>
          <w:lang w:eastAsia="zh-CN"/>
        </w:rPr>
      </w:pPr>
      <w:r>
        <w:rPr>
          <w:rFonts w:hint="eastAsia" w:ascii="黑体" w:hAnsi="黑体" w:eastAsia="黑体" w:cs="黑体"/>
          <w:kern w:val="36"/>
          <w:sz w:val="32"/>
          <w:szCs w:val="32"/>
        </w:rPr>
        <w:t xml:space="preserve">第三条 </w:t>
      </w:r>
      <w:r>
        <w:rPr>
          <w:rFonts w:hint="eastAsia" w:ascii="黑体" w:hAnsi="黑体" w:eastAsia="黑体" w:cs="黑体"/>
          <w:kern w:val="36"/>
          <w:sz w:val="32"/>
          <w:szCs w:val="32"/>
          <w:lang w:eastAsia="zh-CN"/>
        </w:rPr>
        <w:t>办公用房购置支持</w:t>
      </w:r>
    </w:p>
    <w:p>
      <w:pPr>
        <w:pageBreakBefore w:val="0"/>
        <w:widowControl w:val="0"/>
        <w:kinsoku/>
        <w:wordWrap/>
        <w:topLinePunct w:val="0"/>
        <w:bidi w:val="0"/>
        <w:spacing w:beforeAutospacing="0" w:afterAutospacing="0" w:line="560" w:lineRule="exact"/>
        <w:ind w:left="0" w:leftChars="0" w:firstLine="640"/>
        <w:textAlignment w:val="auto"/>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对符合条件的企业，在区内购置自用办公用房，依条件最高按照实际购房价格的10%给予购房支持，最高1500万元。</w:t>
      </w:r>
    </w:p>
    <w:p>
      <w:pPr>
        <w:pageBreakBefore w:val="0"/>
        <w:widowControl w:val="0"/>
        <w:numPr>
          <w:ilvl w:val="0"/>
          <w:numId w:val="1"/>
        </w:numPr>
        <w:kinsoku/>
        <w:wordWrap/>
        <w:topLinePunct w:val="0"/>
        <w:bidi w:val="0"/>
        <w:spacing w:beforeAutospacing="0" w:afterAutospacing="0" w:line="560" w:lineRule="exact"/>
        <w:ind w:left="0" w:leftChars="0" w:firstLine="640"/>
        <w:textAlignment w:val="auto"/>
        <w:rPr>
          <w:rFonts w:hint="eastAsia" w:ascii="黑体" w:hAnsi="黑体" w:eastAsia="黑体" w:cs="黑体"/>
          <w:kern w:val="36"/>
          <w:sz w:val="32"/>
          <w:szCs w:val="32"/>
          <w:lang w:val="en-US" w:eastAsia="zh-CN"/>
        </w:rPr>
      </w:pPr>
      <w:r>
        <w:rPr>
          <w:rFonts w:hint="eastAsia" w:ascii="黑体" w:hAnsi="黑体" w:eastAsia="黑体" w:cs="黑体"/>
          <w:kern w:val="36"/>
          <w:sz w:val="32"/>
          <w:szCs w:val="32"/>
          <w:lang w:val="en-US" w:eastAsia="zh-CN"/>
        </w:rPr>
        <w:t>企业高成长支持</w:t>
      </w:r>
    </w:p>
    <w:p>
      <w:pPr>
        <w:pStyle w:val="2"/>
        <w:pageBreakBefore w:val="0"/>
        <w:widowControl w:val="0"/>
        <w:numPr>
          <w:ilvl w:val="0"/>
          <w:numId w:val="0"/>
        </w:numPr>
        <w:kinsoku/>
        <w:wordWrap/>
        <w:topLinePunct w:val="0"/>
        <w:bidi w:val="0"/>
        <w:spacing w:before="0" w:beforeLines="0" w:beforeAutospacing="0" w:after="0" w:afterLines="0" w:afterAutospacing="0" w:line="560" w:lineRule="exact"/>
        <w:ind w:left="0" w:leftChars="0" w:firstLine="640" w:firstLineChars="200"/>
        <w:textAlignment w:val="auto"/>
        <w:rPr>
          <w:rFonts w:hint="eastAsia" w:ascii="仿宋_GB2312" w:hAnsi="仿宋_GB2312" w:eastAsia="仿宋_GB2312" w:cs="仿宋_GB2312"/>
          <w:color w:val="auto"/>
          <w:sz w:val="32"/>
          <w:szCs w:val="32"/>
          <w:highlight w:val="none"/>
          <w:u w:val="none" w:color="auto"/>
          <w:lang w:val="en-US" w:eastAsia="zh-CN"/>
        </w:rPr>
      </w:pPr>
      <w:bookmarkStart w:id="3" w:name="_Toc111973188"/>
      <w:bookmarkStart w:id="4" w:name="_Toc7580"/>
      <w:bookmarkStart w:id="5" w:name="_Toc1750579250"/>
      <w:r>
        <w:rPr>
          <w:rFonts w:hint="eastAsia" w:ascii="仿宋_GB2312" w:hAnsi="仿宋_GB2312" w:eastAsia="仿宋_GB2312" w:cs="仿宋_GB2312"/>
          <w:bCs w:val="0"/>
          <w:color w:val="auto"/>
          <w:kern w:val="2"/>
          <w:sz w:val="32"/>
          <w:szCs w:val="32"/>
          <w:highlight w:val="none"/>
          <w:u w:val="none" w:color="auto"/>
          <w:lang w:val="en-US" w:eastAsia="zh-CN" w:bidi="ar-SA"/>
        </w:rPr>
        <w:t>（一）新上规支持。</w:t>
      </w:r>
      <w:r>
        <w:rPr>
          <w:rFonts w:hint="eastAsia" w:ascii="仿宋_GB2312" w:hAnsi="仿宋_GB2312" w:eastAsia="仿宋_GB2312" w:cs="仿宋_GB2312"/>
          <w:color w:val="auto"/>
          <w:sz w:val="32"/>
          <w:szCs w:val="32"/>
          <w:highlight w:val="none"/>
          <w:u w:val="none" w:color="auto"/>
          <w:lang w:val="en-US" w:eastAsia="zh-CN"/>
        </w:rPr>
        <w:t>对首次达到“四上”企业要求的企业，依条件给予最高20万元支持，用于支持企业核心高管及团队。</w:t>
      </w:r>
      <w:bookmarkEnd w:id="3"/>
      <w:bookmarkEnd w:id="4"/>
      <w:bookmarkEnd w:id="5"/>
    </w:p>
    <w:p>
      <w:pPr>
        <w:pStyle w:val="2"/>
        <w:pageBreakBefore w:val="0"/>
        <w:widowControl w:val="0"/>
        <w:numPr>
          <w:ilvl w:val="0"/>
          <w:numId w:val="0"/>
        </w:numPr>
        <w:kinsoku/>
        <w:wordWrap/>
        <w:topLinePunct w:val="0"/>
        <w:bidi w:val="0"/>
        <w:spacing w:before="0" w:beforeLines="0" w:beforeAutospacing="0" w:after="0" w:afterLines="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bookmarkStart w:id="6" w:name="_Toc1626330824"/>
      <w:bookmarkStart w:id="7" w:name="_Toc16910"/>
      <w:bookmarkStart w:id="8" w:name="_Toc1875069387"/>
      <w:r>
        <w:rPr>
          <w:rFonts w:hint="eastAsia" w:ascii="仿宋_GB2312" w:hAnsi="仿宋_GB2312" w:eastAsia="仿宋_GB2312" w:cs="仿宋_GB2312"/>
          <w:bCs w:val="0"/>
          <w:color w:val="auto"/>
          <w:kern w:val="2"/>
          <w:sz w:val="32"/>
          <w:szCs w:val="32"/>
          <w:highlight w:val="none"/>
          <w:u w:val="none" w:color="auto"/>
          <w:lang w:val="en-US" w:eastAsia="zh-CN" w:bidi="ar-SA"/>
        </w:rPr>
        <w:t>（二）高成长支持。</w:t>
      </w:r>
      <w:r>
        <w:rPr>
          <w:rFonts w:hint="eastAsia" w:ascii="仿宋_GB2312" w:hAnsi="仿宋_GB2312" w:eastAsia="仿宋_GB2312" w:cs="仿宋_GB2312"/>
          <w:color w:val="auto"/>
          <w:sz w:val="32"/>
          <w:szCs w:val="32"/>
          <w:highlight w:val="none"/>
          <w:u w:val="none" w:color="auto"/>
          <w:lang w:val="en-US" w:eastAsia="zh-CN"/>
        </w:rPr>
        <w:t>对纳入互联网和相关服务业、软件和信息技术服务业行业统计，达到一定规模且成长性良好的企业，依条件给予企业核心高管及团队每年最高300万元支持。</w:t>
      </w:r>
      <w:bookmarkEnd w:id="6"/>
      <w:bookmarkEnd w:id="7"/>
      <w:bookmarkEnd w:id="8"/>
    </w:p>
    <w:p>
      <w:pPr>
        <w:pageBreakBefore w:val="0"/>
        <w:widowControl w:val="0"/>
        <w:kinsoku/>
        <w:wordWrap/>
        <w:topLinePunct w:val="0"/>
        <w:bidi w:val="0"/>
        <w:spacing w:beforeAutospacing="0" w:afterAutospacing="0" w:line="560" w:lineRule="exact"/>
        <w:ind w:left="0" w:leftChars="0" w:firstLine="640"/>
        <w:textAlignment w:val="auto"/>
        <w:rPr>
          <w:rFonts w:hint="eastAsia" w:ascii="黑体" w:hAnsi="黑体" w:eastAsia="黑体" w:cs="黑体"/>
          <w:sz w:val="32"/>
          <w:szCs w:val="32"/>
          <w:lang w:eastAsia="zh-CN"/>
        </w:rPr>
      </w:pPr>
      <w:r>
        <w:rPr>
          <w:rFonts w:hint="eastAsia" w:ascii="黑体" w:hAnsi="黑体" w:eastAsia="黑体" w:cs="黑体"/>
          <w:kern w:val="36"/>
          <w:sz w:val="32"/>
          <w:szCs w:val="32"/>
          <w:lang w:val="en-US" w:eastAsia="zh-CN"/>
        </w:rPr>
        <w:t>第五条 上云赋智支持</w:t>
      </w:r>
    </w:p>
    <w:p>
      <w:pPr>
        <w:pageBreakBefore w:val="0"/>
        <w:widowControl w:val="0"/>
        <w:kinsoku/>
        <w:wordWrap/>
        <w:topLinePunct w:val="0"/>
        <w:bidi w:val="0"/>
        <w:spacing w:beforeAutospacing="0" w:afterAutospacing="0" w:line="560" w:lineRule="exact"/>
        <w:ind w:left="0" w:leftChars="0"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eastAsia="zh-CN"/>
        </w:rPr>
        <w:t>辖区企业“上云用数赋智”，依条件对企业在</w:t>
      </w:r>
      <w:r>
        <w:rPr>
          <w:rFonts w:hint="eastAsia" w:ascii="仿宋_GB2312" w:hAnsi="仿宋_GB2312" w:eastAsia="仿宋_GB2312" w:cs="仿宋_GB2312"/>
          <w:sz w:val="32"/>
          <w:szCs w:val="32"/>
          <w:lang w:val="en-US" w:eastAsia="zh-CN"/>
        </w:rPr>
        <w:t>本辖区的</w:t>
      </w:r>
      <w:r>
        <w:rPr>
          <w:rFonts w:hint="eastAsia" w:ascii="仿宋_GB2312" w:hAnsi="仿宋_GB2312" w:eastAsia="仿宋_GB2312" w:cs="仿宋_GB2312"/>
          <w:sz w:val="32"/>
          <w:szCs w:val="32"/>
          <w:lang w:eastAsia="zh-CN"/>
        </w:rPr>
        <w:t>云服务平台上消耗费用的50%给予一次性补贴，单个企业每年最高支持50万元，单个云服务平台每年支持金额</w:t>
      </w:r>
      <w:r>
        <w:rPr>
          <w:rFonts w:hint="eastAsia" w:ascii="仿宋_GB2312" w:hAnsi="仿宋_GB2312" w:eastAsia="仿宋_GB2312" w:cs="仿宋_GB2312"/>
          <w:sz w:val="32"/>
          <w:szCs w:val="32"/>
          <w:lang w:val="en-US" w:eastAsia="zh-CN"/>
        </w:rPr>
        <w:t>最高</w:t>
      </w:r>
      <w:r>
        <w:rPr>
          <w:rFonts w:hint="eastAsia" w:ascii="仿宋_GB2312" w:hAnsi="仿宋_GB2312" w:eastAsia="仿宋_GB2312" w:cs="仿宋_GB2312"/>
          <w:sz w:val="32"/>
          <w:szCs w:val="32"/>
          <w:lang w:eastAsia="zh-CN"/>
        </w:rPr>
        <w:t>2000万元。</w:t>
      </w:r>
    </w:p>
    <w:p>
      <w:pPr>
        <w:pageBreakBefore w:val="0"/>
        <w:widowControl w:val="0"/>
        <w:kinsoku/>
        <w:wordWrap/>
        <w:topLinePunct w:val="0"/>
        <w:bidi w:val="0"/>
        <w:spacing w:beforeAutospacing="0" w:afterAutospacing="0" w:line="560" w:lineRule="exact"/>
        <w:ind w:left="0" w:leftChars="0" w:firstLine="640"/>
        <w:textAlignment w:val="auto"/>
        <w:rPr>
          <w:rFonts w:hint="eastAsia" w:ascii="黑体" w:hAnsi="黑体" w:eastAsia="黑体" w:cs="黑体"/>
          <w:sz w:val="32"/>
          <w:szCs w:val="32"/>
          <w:lang w:eastAsia="zh-CN"/>
        </w:rPr>
      </w:pPr>
      <w:r>
        <w:rPr>
          <w:rFonts w:hint="eastAsia" w:ascii="黑体" w:hAnsi="黑体" w:eastAsia="黑体" w:cs="黑体"/>
          <w:kern w:val="36"/>
          <w:sz w:val="32"/>
          <w:szCs w:val="32"/>
          <w:lang w:val="en-US" w:eastAsia="zh-CN"/>
        </w:rPr>
        <w:t>第六条 工业软件及开源项目支持</w:t>
      </w:r>
    </w:p>
    <w:p>
      <w:pPr>
        <w:pageBreakBefore w:val="0"/>
        <w:widowControl w:val="0"/>
        <w:kinsoku/>
        <w:wordWrap/>
        <w:topLinePunct w:val="0"/>
        <w:bidi w:val="0"/>
        <w:spacing w:beforeAutospacing="0" w:afterAutospacing="0" w:line="560" w:lineRule="exact"/>
        <w:ind w:left="0" w:leftChars="0"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highlight w:val="none"/>
          <w:u w:val="none" w:color="auto"/>
          <w:lang w:val="en-US" w:eastAsia="zh-CN"/>
        </w:rPr>
        <w:t>（一）工业软件支持。</w:t>
      </w:r>
      <w:r>
        <w:rPr>
          <w:rFonts w:hint="eastAsia" w:ascii="仿宋_GB2312" w:hAnsi="仿宋_GB2312" w:eastAsia="仿宋_GB2312" w:cs="仿宋_GB2312"/>
          <w:sz w:val="32"/>
          <w:szCs w:val="32"/>
          <w:lang w:eastAsia="zh-CN"/>
        </w:rPr>
        <w:t>支持企业研发核心工业软件，对上年度进入工业和信息化部工业软件优秀产品名单的企业，</w:t>
      </w:r>
      <w:r>
        <w:rPr>
          <w:rFonts w:hint="eastAsia" w:ascii="仿宋_GB2312" w:hAnsi="仿宋_GB2312" w:eastAsia="仿宋_GB2312" w:cs="仿宋_GB2312"/>
          <w:sz w:val="32"/>
          <w:szCs w:val="32"/>
          <w:lang w:val="en-US" w:eastAsia="zh-CN"/>
        </w:rPr>
        <w:t>依条件</w:t>
      </w:r>
      <w:r>
        <w:rPr>
          <w:rFonts w:hint="eastAsia" w:ascii="仿宋_GB2312" w:hAnsi="仿宋_GB2312" w:eastAsia="仿宋_GB2312" w:cs="仿宋_GB2312"/>
          <w:sz w:val="32"/>
          <w:szCs w:val="32"/>
          <w:lang w:eastAsia="zh-CN"/>
        </w:rPr>
        <w:t>给予每个企业最高50万元奖励。</w:t>
      </w:r>
    </w:p>
    <w:p>
      <w:pPr>
        <w:pageBreakBefore w:val="0"/>
        <w:widowControl w:val="0"/>
        <w:kinsoku/>
        <w:wordWrap/>
        <w:topLinePunct w:val="0"/>
        <w:bidi w:val="0"/>
        <w:spacing w:beforeAutospacing="0" w:afterAutospacing="0" w:line="560" w:lineRule="exact"/>
        <w:ind w:left="0" w:leftChars="0"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highlight w:val="none"/>
          <w:u w:val="none" w:color="auto"/>
          <w:lang w:val="en-US" w:eastAsia="zh-CN"/>
        </w:rPr>
        <w:t>（二）开源项目支持。</w:t>
      </w:r>
      <w:r>
        <w:rPr>
          <w:rFonts w:hint="eastAsia" w:ascii="仿宋_GB2312" w:hAnsi="仿宋_GB2312" w:eastAsia="仿宋_GB2312" w:cs="仿宋_GB2312"/>
          <w:sz w:val="32"/>
          <w:szCs w:val="32"/>
          <w:lang w:eastAsia="zh-CN"/>
        </w:rPr>
        <w:t>对参与鸿蒙、欧拉等重大开源项目，开展相关合作获得上级相关部门支持的互联网或软件企业，</w:t>
      </w:r>
      <w:r>
        <w:rPr>
          <w:rFonts w:hint="eastAsia" w:ascii="仿宋_GB2312" w:hAnsi="仿宋_GB2312" w:eastAsia="仿宋_GB2312" w:cs="仿宋_GB2312"/>
          <w:sz w:val="32"/>
          <w:szCs w:val="32"/>
          <w:lang w:val="en-US" w:eastAsia="zh-CN"/>
        </w:rPr>
        <w:t>依条件最高按照</w:t>
      </w:r>
      <w:r>
        <w:rPr>
          <w:rFonts w:hint="eastAsia" w:ascii="仿宋_GB2312" w:hAnsi="仿宋_GB2312" w:eastAsia="仿宋_GB2312" w:cs="仿宋_GB2312"/>
          <w:sz w:val="32"/>
          <w:szCs w:val="32"/>
          <w:lang w:eastAsia="zh-CN"/>
        </w:rPr>
        <w:t>上级相关部门扶持金额的50%给予支持，最高200万元。</w:t>
      </w:r>
    </w:p>
    <w:p>
      <w:pPr>
        <w:pageBreakBefore w:val="0"/>
        <w:widowControl w:val="0"/>
        <w:kinsoku/>
        <w:wordWrap/>
        <w:topLinePunct w:val="0"/>
        <w:bidi w:val="0"/>
        <w:spacing w:beforeAutospacing="0" w:afterAutospacing="0" w:line="560" w:lineRule="exact"/>
        <w:ind w:left="0" w:leftChars="0" w:firstLine="640"/>
        <w:textAlignment w:val="auto"/>
        <w:rPr>
          <w:rFonts w:hint="eastAsia" w:ascii="黑体" w:hAnsi="黑体" w:eastAsia="黑体" w:cs="黑体"/>
          <w:kern w:val="36"/>
          <w:sz w:val="32"/>
          <w:szCs w:val="32"/>
          <w:lang w:val="en-US" w:eastAsia="zh-CN"/>
        </w:rPr>
      </w:pPr>
      <w:r>
        <w:rPr>
          <w:rFonts w:hint="eastAsia" w:ascii="黑体" w:hAnsi="黑体" w:eastAsia="黑体" w:cs="黑体"/>
          <w:kern w:val="36"/>
          <w:sz w:val="32"/>
          <w:szCs w:val="32"/>
          <w:lang w:val="en-US" w:eastAsia="zh-CN"/>
        </w:rPr>
        <w:t>第七条 软件企业科技创新奖励</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left="0" w:leftChars="0" w:firstLine="640" w:firstLineChars="200"/>
        <w:textAlignment w:val="auto"/>
        <w:outlineLvl w:val="2"/>
        <w:rPr>
          <w:rFonts w:hint="eastAsia" w:ascii="仿宋_GB2312" w:hAnsi="仿宋_GB2312" w:eastAsia="仿宋_GB2312" w:cs="仿宋_GB2312"/>
          <w:sz w:val="32"/>
          <w:szCs w:val="32"/>
          <w:lang w:eastAsia="zh-CN"/>
        </w:rPr>
      </w:pPr>
      <w:bookmarkStart w:id="9" w:name="_Toc1326554661"/>
      <w:bookmarkStart w:id="10" w:name="_Toc1310898230"/>
      <w:bookmarkStart w:id="11" w:name="_Toc1108208529"/>
      <w:bookmarkStart w:id="12" w:name="_Toc1716406688"/>
      <w:bookmarkStart w:id="13" w:name="_Toc381022347"/>
      <w:r>
        <w:rPr>
          <w:rFonts w:hint="eastAsia" w:ascii="仿宋_GB2312" w:hAnsi="仿宋_GB2312" w:eastAsia="仿宋_GB2312" w:cs="仿宋_GB2312"/>
          <w:color w:val="auto"/>
          <w:sz w:val="32"/>
          <w:szCs w:val="32"/>
          <w:highlight w:val="none"/>
          <w:u w:val="none" w:color="auto"/>
          <w:lang w:val="en-US" w:eastAsia="zh-CN"/>
        </w:rPr>
        <w:t>（一）科技立项及奖励支持</w:t>
      </w:r>
      <w:bookmarkEnd w:id="9"/>
      <w:bookmarkEnd w:id="10"/>
      <w:bookmarkEnd w:id="11"/>
      <w:bookmarkEnd w:id="12"/>
      <w:bookmarkEnd w:id="13"/>
      <w:r>
        <w:rPr>
          <w:rFonts w:hint="eastAsia" w:ascii="仿宋_GB2312" w:hAnsi="仿宋_GB2312" w:eastAsia="仿宋_GB2312" w:cs="仿宋_GB2312"/>
          <w:color w:val="auto"/>
          <w:sz w:val="32"/>
          <w:szCs w:val="32"/>
          <w:highlight w:val="none"/>
          <w:u w:val="none" w:color="auto"/>
          <w:lang w:val="en-US" w:eastAsia="zh-CN"/>
        </w:rPr>
        <w:t>。</w:t>
      </w:r>
      <w:r>
        <w:rPr>
          <w:rFonts w:hint="eastAsia" w:ascii="仿宋_GB2312" w:hAnsi="仿宋_GB2312" w:eastAsia="仿宋_GB2312" w:cs="仿宋_GB2312"/>
          <w:sz w:val="32"/>
          <w:szCs w:val="32"/>
          <w:lang w:eastAsia="zh-CN"/>
        </w:rPr>
        <w:t>对上年度获得国家、省、市科学技术奖及中国专利奖（含外观设计奖）的个人或完成单位及对上年度获得国家、省、市科技计划立项且通过验收的企业，依条件给予最高150万元奖励。</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left="0" w:leftChars="0" w:firstLine="640" w:firstLineChars="200"/>
        <w:textAlignment w:val="auto"/>
        <w:outlineLvl w:val="2"/>
        <w:rPr>
          <w:rFonts w:hint="eastAsia" w:ascii="仿宋_GB2312" w:hAnsi="仿宋_GB2312" w:eastAsia="仿宋_GB2312" w:cs="仿宋_GB2312"/>
          <w:kern w:val="36"/>
          <w:sz w:val="32"/>
          <w:szCs w:val="32"/>
          <w:lang w:val="en-US" w:eastAsia="zh-CN"/>
        </w:rPr>
      </w:pPr>
      <w:bookmarkStart w:id="14" w:name="_Toc1821838419"/>
      <w:bookmarkStart w:id="15" w:name="_Toc1880479983"/>
      <w:bookmarkStart w:id="16" w:name="_Toc2053797171"/>
      <w:bookmarkStart w:id="17" w:name="_Toc342900512"/>
      <w:bookmarkStart w:id="18" w:name="_Toc300092230"/>
      <w:r>
        <w:rPr>
          <w:rFonts w:hint="eastAsia" w:ascii="仿宋_GB2312" w:hAnsi="仿宋_GB2312" w:eastAsia="仿宋_GB2312" w:cs="仿宋_GB2312"/>
          <w:color w:val="auto"/>
          <w:sz w:val="32"/>
          <w:szCs w:val="32"/>
          <w:highlight w:val="none"/>
          <w:u w:val="none" w:color="auto"/>
          <w:lang w:val="en-US" w:eastAsia="zh-CN"/>
        </w:rPr>
        <w:t>（二）技术转移和成果转化支持</w:t>
      </w:r>
      <w:bookmarkEnd w:id="14"/>
      <w:bookmarkEnd w:id="15"/>
      <w:bookmarkEnd w:id="16"/>
      <w:bookmarkEnd w:id="17"/>
      <w:bookmarkEnd w:id="18"/>
      <w:r>
        <w:rPr>
          <w:rFonts w:hint="eastAsia" w:ascii="仿宋_GB2312" w:hAnsi="仿宋_GB2312" w:eastAsia="仿宋_GB2312" w:cs="仿宋_GB2312"/>
          <w:color w:val="auto"/>
          <w:sz w:val="32"/>
          <w:szCs w:val="32"/>
          <w:highlight w:val="none"/>
          <w:u w:val="none" w:color="auto"/>
          <w:lang w:val="en-US" w:eastAsia="zh-CN"/>
        </w:rPr>
        <w:t>。对获得深圳市科创委“技术转移和成果转化”项目资金支持的企业，按其获得资金支持的50%，依条件给予最高200万元支持。</w:t>
      </w:r>
    </w:p>
    <w:p>
      <w:pPr>
        <w:pageBreakBefore w:val="0"/>
        <w:widowControl w:val="0"/>
        <w:kinsoku/>
        <w:wordWrap/>
        <w:topLinePunct w:val="0"/>
        <w:bidi w:val="0"/>
        <w:spacing w:beforeAutospacing="0" w:afterAutospacing="0" w:line="560" w:lineRule="exact"/>
        <w:ind w:left="0" w:leftChars="0" w:firstLine="640"/>
        <w:textAlignment w:val="auto"/>
        <w:rPr>
          <w:rFonts w:hint="eastAsia" w:ascii="黑体" w:hAnsi="黑体" w:eastAsia="黑体" w:cs="黑体"/>
          <w:kern w:val="36"/>
          <w:sz w:val="32"/>
          <w:szCs w:val="32"/>
          <w:lang w:val="en-US" w:eastAsia="zh-CN"/>
        </w:rPr>
      </w:pPr>
      <w:r>
        <w:rPr>
          <w:rFonts w:hint="eastAsia" w:ascii="黑体" w:hAnsi="黑体" w:eastAsia="黑体" w:cs="黑体"/>
          <w:kern w:val="36"/>
          <w:sz w:val="32"/>
          <w:szCs w:val="32"/>
          <w:lang w:val="en-US" w:eastAsia="zh-CN"/>
        </w:rPr>
        <w:t>第八条 创新联合体支持</w:t>
      </w:r>
    </w:p>
    <w:p>
      <w:pPr>
        <w:pageBreakBefore w:val="0"/>
        <w:widowControl w:val="0"/>
        <w:kinsoku/>
        <w:wordWrap/>
        <w:topLinePunct w:val="0"/>
        <w:bidi w:val="0"/>
        <w:spacing w:beforeAutospacing="0" w:afterAutospacing="0" w:line="560" w:lineRule="exact"/>
        <w:ind w:left="0" w:leftChars="0"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鼓励软件企业与高校、科研院所和企事业单位等机构建设创新联合体，加强共性技术研发，对符合条件的创新联合体，依条件给予最高200万元支持。</w:t>
      </w:r>
    </w:p>
    <w:p>
      <w:pPr>
        <w:pageBreakBefore w:val="0"/>
        <w:widowControl w:val="0"/>
        <w:kinsoku/>
        <w:wordWrap/>
        <w:topLinePunct w:val="0"/>
        <w:bidi w:val="0"/>
        <w:spacing w:beforeAutospacing="0" w:afterAutospacing="0" w:line="560" w:lineRule="exact"/>
        <w:ind w:left="0" w:leftChars="0" w:firstLine="640"/>
        <w:textAlignment w:val="auto"/>
        <w:rPr>
          <w:rFonts w:hint="eastAsia" w:ascii="黑体" w:hAnsi="黑体" w:eastAsia="黑体" w:cs="黑体"/>
          <w:kern w:val="36"/>
          <w:sz w:val="32"/>
          <w:szCs w:val="32"/>
          <w:lang w:val="en-US" w:eastAsia="zh-CN"/>
        </w:rPr>
      </w:pPr>
      <w:r>
        <w:rPr>
          <w:rFonts w:hint="eastAsia" w:ascii="黑体" w:hAnsi="黑体" w:eastAsia="黑体" w:cs="黑体"/>
          <w:kern w:val="36"/>
          <w:sz w:val="32"/>
          <w:szCs w:val="32"/>
          <w:lang w:val="en-US" w:eastAsia="zh-CN"/>
        </w:rPr>
        <w:t>第九条 软件企业生态建设支持</w:t>
      </w:r>
    </w:p>
    <w:p>
      <w:pPr>
        <w:pageBreakBefore w:val="0"/>
        <w:widowControl w:val="0"/>
        <w:kinsoku/>
        <w:wordWrap/>
        <w:topLinePunct w:val="0"/>
        <w:bidi w:val="0"/>
        <w:spacing w:beforeAutospacing="0" w:afterAutospacing="0" w:line="560" w:lineRule="exact"/>
        <w:ind w:left="0" w:leftChars="0"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支持福田区软件企业牵头联合国际性组织、国家级行业协会在福田举办软件行业大会、大赛、论坛等活动，依条件最高按</w:t>
      </w:r>
      <w:r>
        <w:rPr>
          <w:rFonts w:hint="eastAsia" w:ascii="仿宋_GB2312" w:hAnsi="仿宋_GB2312" w:eastAsia="仿宋_GB2312" w:cs="仿宋_GB2312"/>
          <w:sz w:val="32"/>
          <w:szCs w:val="32"/>
          <w:lang w:val="en-US" w:eastAsia="zh-CN"/>
        </w:rPr>
        <w:t>照</w:t>
      </w:r>
      <w:r>
        <w:rPr>
          <w:rFonts w:hint="eastAsia" w:ascii="仿宋_GB2312" w:hAnsi="仿宋_GB2312" w:eastAsia="仿宋_GB2312" w:cs="仿宋_GB2312"/>
          <w:sz w:val="32"/>
          <w:szCs w:val="32"/>
          <w:lang w:eastAsia="zh-CN"/>
        </w:rPr>
        <w:t>项目审定总投入的50%给予资助，最高500万元。</w:t>
      </w:r>
    </w:p>
    <w:p>
      <w:pPr>
        <w:pageBreakBefore w:val="0"/>
        <w:widowControl w:val="0"/>
        <w:kinsoku/>
        <w:wordWrap/>
        <w:topLinePunct w:val="0"/>
        <w:bidi w:val="0"/>
        <w:spacing w:beforeAutospacing="0" w:afterAutospacing="0" w:line="560" w:lineRule="exact"/>
        <w:ind w:left="0" w:leftChars="0" w:firstLine="640" w:firstLineChars="200"/>
        <w:rPr>
          <w:rStyle w:val="5"/>
          <w:rFonts w:hint="eastAsia" w:ascii="黑体" w:hAnsi="黑体" w:eastAsia="黑体" w:cs="黑体"/>
          <w:b w:val="0"/>
          <w:color w:val="000000"/>
          <w:sz w:val="32"/>
          <w:szCs w:val="32"/>
          <w:highlight w:val="none"/>
          <w:u w:val="none" w:color="auto"/>
          <w:lang w:bidi="ar-SA"/>
        </w:rPr>
      </w:pPr>
      <w:r>
        <w:rPr>
          <w:rFonts w:hint="eastAsia" w:ascii="黑体" w:hAnsi="黑体" w:eastAsia="黑体" w:cs="黑体"/>
          <w:kern w:val="2"/>
          <w:sz w:val="32"/>
          <w:szCs w:val="24"/>
          <w:highlight w:val="none"/>
          <w:lang w:val="en-US" w:eastAsia="zh-CN" w:bidi="ar-SA"/>
        </w:rPr>
        <w:t xml:space="preserve">第十条 </w:t>
      </w:r>
      <w:r>
        <w:rPr>
          <w:rStyle w:val="5"/>
          <w:rFonts w:hint="eastAsia" w:ascii="黑体" w:hAnsi="黑体" w:eastAsia="黑体" w:cs="黑体"/>
          <w:b w:val="0"/>
          <w:color w:val="000000"/>
          <w:sz w:val="32"/>
          <w:szCs w:val="32"/>
          <w:highlight w:val="none"/>
          <w:u w:val="none" w:color="auto"/>
          <w:lang w:bidi="ar-SA"/>
        </w:rPr>
        <w:t>附则</w:t>
      </w:r>
    </w:p>
    <w:p>
      <w:pPr>
        <w:pStyle w:val="2"/>
        <w:pageBreakBefore w:val="0"/>
        <w:widowControl w:val="0"/>
        <w:kinsoku/>
        <w:wordWrap/>
        <w:topLinePunct w:val="0"/>
        <w:bidi w:val="0"/>
        <w:spacing w:beforeLines="0" w:beforeAutospacing="0" w:afterLines="0" w:afterAutospacing="0" w:line="560" w:lineRule="exact"/>
        <w:ind w:left="0" w:leftChars="0" w:firstLine="640" w:firstLineChars="200"/>
        <w:rPr>
          <w:rFonts w:hint="eastAsia" w:ascii="仿宋_GB2312" w:hAnsi="仿宋_GB2312" w:eastAsia="仿宋_GB2312" w:cs="仿宋_GB2312"/>
          <w:color w:val="000000"/>
          <w:sz w:val="32"/>
          <w:szCs w:val="32"/>
          <w:highlight w:val="none"/>
          <w:u w:val="none" w:color="auto"/>
          <w:lang w:val="zh-CN" w:eastAsia="zh-CN"/>
        </w:rPr>
      </w:pPr>
      <w:r>
        <w:rPr>
          <w:rFonts w:hint="eastAsia" w:ascii="仿宋_GB2312" w:hAnsi="仿宋_GB2312" w:eastAsia="仿宋_GB2312" w:cs="仿宋_GB2312"/>
          <w:sz w:val="32"/>
          <w:szCs w:val="32"/>
        </w:rPr>
        <w:t>本措施所指企业为</w:t>
      </w:r>
      <w:r>
        <w:rPr>
          <w:rFonts w:hint="eastAsia" w:ascii="仿宋_GB2312" w:hAnsi="仿宋_GB2312" w:eastAsia="仿宋_GB2312" w:cs="仿宋_GB2312"/>
          <w:sz w:val="32"/>
          <w:szCs w:val="32"/>
          <w:lang w:eastAsia="zh-CN"/>
        </w:rPr>
        <w:t>辖区内纳统在</w:t>
      </w:r>
      <w:r>
        <w:rPr>
          <w:rFonts w:hint="eastAsia" w:ascii="仿宋_GB2312" w:hAnsi="仿宋_GB2312" w:eastAsia="仿宋_GB2312" w:cs="仿宋_GB2312"/>
          <w:sz w:val="32"/>
          <w:szCs w:val="32"/>
        </w:rPr>
        <w:t>国民经济行业分类中</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软件和信息技术服务业、互联网和相关服务企业。</w:t>
      </w:r>
      <w:r>
        <w:rPr>
          <w:rFonts w:hint="eastAsia" w:ascii="仿宋_GB2312" w:hAnsi="仿宋_GB2312" w:eastAsia="仿宋_GB2312" w:cs="仿宋_GB2312"/>
          <w:i w:val="0"/>
          <w:caps w:val="0"/>
          <w:color w:val="auto"/>
          <w:spacing w:val="0"/>
          <w:kern w:val="0"/>
          <w:sz w:val="32"/>
          <w:szCs w:val="32"/>
          <w:highlight w:val="none"/>
          <w:lang w:val="en-US" w:eastAsia="zh-CN" w:bidi="ar"/>
        </w:rPr>
        <w:t>本措施支持资金受产业资金年度预算总额控制。本措施</w:t>
      </w:r>
      <w:r>
        <w:rPr>
          <w:rFonts w:hint="eastAsia" w:ascii="仿宋_GB2312" w:hAnsi="仿宋_GB2312" w:eastAsia="仿宋_GB2312" w:cs="仿宋_GB2312"/>
          <w:sz w:val="32"/>
          <w:szCs w:val="32"/>
        </w:rPr>
        <w:t>自202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年XX月XX日起施行</w:t>
      </w:r>
      <w:r>
        <w:rPr>
          <w:rFonts w:hint="eastAsia" w:ascii="仿宋_GB2312" w:hAnsi="仿宋_GB2312" w:eastAsia="仿宋_GB2312" w:cs="仿宋_GB2312"/>
          <w:kern w:val="2"/>
          <w:sz w:val="32"/>
          <w:szCs w:val="24"/>
          <w:highlight w:val="none"/>
          <w:lang w:val="en-US" w:eastAsia="zh-CN" w:bidi="ar-SA"/>
        </w:rPr>
        <w:t>，至2025年6月30日止，</w:t>
      </w:r>
      <w:r>
        <w:rPr>
          <w:rFonts w:hint="eastAsia" w:ascii="仿宋_GB2312" w:hAnsi="仿宋_GB2312" w:eastAsia="仿宋_GB2312" w:cs="仿宋_GB2312"/>
          <w:color w:val="000000"/>
          <w:sz w:val="32"/>
          <w:szCs w:val="32"/>
          <w:highlight w:val="none"/>
          <w:u w:val="none" w:color="auto"/>
          <w:lang w:val="zh-CN" w:eastAsia="zh-CN"/>
        </w:rPr>
        <w:t>由</w:t>
      </w:r>
      <w:r>
        <w:rPr>
          <w:rFonts w:hint="eastAsia" w:ascii="仿宋_GB2312" w:hAnsi="仿宋_GB2312" w:eastAsia="仿宋_GB2312" w:cs="仿宋_GB2312"/>
          <w:sz w:val="32"/>
          <w:szCs w:val="32"/>
        </w:rPr>
        <w:t>福田区科技创新局</w:t>
      </w:r>
      <w:r>
        <w:rPr>
          <w:rFonts w:hint="eastAsia" w:ascii="仿宋_GB2312" w:hAnsi="仿宋_GB2312" w:eastAsia="仿宋_GB2312" w:cs="仿宋_GB2312"/>
          <w:color w:val="000000"/>
          <w:sz w:val="32"/>
          <w:szCs w:val="32"/>
          <w:highlight w:val="none"/>
          <w:u w:val="none" w:color="auto"/>
          <w:lang w:val="zh-CN" w:eastAsia="zh-CN"/>
        </w:rPr>
        <w:t>负责解释。</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F4CD5"/>
    <w:multiLevelType w:val="singleLevel"/>
    <w:tmpl w:val="FFEF4CD5"/>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62CD8"/>
    <w:rsid w:val="1BB62CD8"/>
    <w:rsid w:val="27C3E486"/>
    <w:rsid w:val="73FF9DC9"/>
    <w:rsid w:val="7FDFB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widowControl w:val="0"/>
      <w:spacing w:before="100" w:beforeLines="0" w:beforeAutospacing="1" w:after="100" w:afterLines="0" w:afterAutospacing="1"/>
      <w:jc w:val="left"/>
      <w:outlineLvl w:val="0"/>
    </w:pPr>
    <w:rPr>
      <w:rFonts w:hint="eastAsia" w:ascii="宋体" w:hAnsi="宋体" w:eastAsia="宋体" w:cs="宋体"/>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link w:val="2"/>
    <w:qFormat/>
    <w:uiPriority w:val="9"/>
    <w:rPr>
      <w:rFonts w:hint="eastAsia" w:ascii="宋体" w:hAnsi="宋体" w:eastAsia="宋体" w:cs="宋体"/>
      <w:kern w:val="44"/>
      <w:sz w:val="48"/>
      <w:szCs w:val="4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2024-05-10T18:50:00Z</dcterms:created>
  <dc:creator>丶PanH</dc:creator>
  <cp:lastModifiedBy>王思慧</cp:lastModifiedBy>
  <cp:lastPrinted>2024-05-11T15:20:10Z</cp:lastPrinted>
  <dcterms:modified xsi:type="dcterms:W3CDTF">2024-05-11T16:01:01Z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2CB3E5E2360B38D221F23D661C6CF876</vt:lpwstr>
  </property>
</Properties>
</file>