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cs="仿宋_GB2312"/>
          <w:sz w:val="32"/>
          <w:szCs w:val="48"/>
        </w:rPr>
      </w:pPr>
      <w:r>
        <w:rPr>
          <w:rFonts w:hint="eastAsia" w:ascii="黑体" w:hAnsi="黑体" w:eastAsia="黑体" w:cs="黑体"/>
          <w:sz w:val="32"/>
          <w:szCs w:val="48"/>
        </w:rPr>
        <w:t>附件2</w:t>
      </w:r>
    </w:p>
    <w:p>
      <w:pPr>
        <w:pStyle w:val="7"/>
        <w:spacing w:before="156" w:beforeLines="50" w:after="156" w:afterLines="50" w:line="560" w:lineRule="exact"/>
        <w:ind w:firstLine="0" w:firstLineChars="0"/>
        <w:jc w:val="center"/>
        <w:rPr>
          <w:rFonts w:hint="eastAsia" w:ascii="华文中宋" w:hAnsi="华文中宋" w:eastAsia="华文中宋" w:cs="华文中宋"/>
          <w:b/>
          <w:bCs/>
          <w:sz w:val="44"/>
          <w:szCs w:val="44"/>
        </w:rPr>
      </w:pPr>
      <w:bookmarkStart w:id="0" w:name="_GoBack"/>
      <w:r>
        <w:rPr>
          <w:rFonts w:hint="eastAsia" w:ascii="华文中宋" w:hAnsi="华文中宋" w:eastAsia="华文中宋" w:cs="华文中宋"/>
          <w:b/>
          <w:bCs/>
          <w:sz w:val="44"/>
          <w:szCs w:val="44"/>
        </w:rPr>
        <w:t>知识产权保护工作站</w:t>
      </w:r>
      <w:r>
        <w:rPr>
          <w:rFonts w:hint="eastAsia" w:ascii="华文中宋" w:hAnsi="华文中宋" w:eastAsia="华文中宋" w:cs="华文中宋"/>
          <w:b/>
          <w:bCs/>
          <w:sz w:val="44"/>
          <w:szCs w:val="44"/>
          <w:lang w:val="en-US" w:eastAsia="zh-CN"/>
        </w:rPr>
        <w:t>自我</w:t>
      </w:r>
      <w:r>
        <w:rPr>
          <w:rFonts w:hint="eastAsia" w:ascii="华文中宋" w:hAnsi="华文中宋" w:eastAsia="华文中宋" w:cs="华文中宋"/>
          <w:b/>
          <w:bCs/>
          <w:sz w:val="44"/>
          <w:szCs w:val="44"/>
        </w:rPr>
        <w:t>评价指标表</w:t>
      </w:r>
      <w:bookmarkEnd w:id="0"/>
    </w:p>
    <w:p>
      <w:pPr>
        <w:pStyle w:val="7"/>
        <w:spacing w:before="156" w:beforeLines="50" w:after="156" w:afterLines="50" w:line="56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工作站名称：                        联系人：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联系方式：</w:t>
      </w:r>
    </w:p>
    <w:tbl>
      <w:tblPr>
        <w:tblStyle w:val="4"/>
        <w:tblW w:w="1467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65"/>
        <w:gridCol w:w="1230"/>
        <w:gridCol w:w="2895"/>
        <w:gridCol w:w="5265"/>
        <w:gridCol w:w="1090"/>
        <w:gridCol w:w="2246"/>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4" w:hRule="atLeast"/>
          <w:tblHeader/>
          <w:jc w:val="center"/>
        </w:trPr>
        <w:tc>
          <w:tcPr>
            <w:tcW w:w="2295" w:type="dxa"/>
            <w:gridSpan w:val="2"/>
            <w:noWrap w:val="0"/>
            <w:vAlign w:val="center"/>
          </w:tcPr>
          <w:p>
            <w:pPr>
              <w:pStyle w:val="7"/>
              <w:ind w:firstLine="0" w:firstLineChars="0"/>
              <w:jc w:val="center"/>
              <w:rPr>
                <w:rFonts w:hint="eastAsia" w:hAnsi="宋体" w:cs="宋体"/>
                <w:b/>
                <w:bCs/>
                <w:szCs w:val="21"/>
              </w:rPr>
            </w:pPr>
            <w:r>
              <w:rPr>
                <w:rFonts w:hint="eastAsia" w:hAnsi="宋体" w:cs="宋体"/>
                <w:b/>
                <w:bCs/>
                <w:szCs w:val="21"/>
              </w:rPr>
              <w:t>评价内容</w:t>
            </w:r>
          </w:p>
        </w:tc>
        <w:tc>
          <w:tcPr>
            <w:tcW w:w="2895" w:type="dxa"/>
            <w:noWrap w:val="0"/>
            <w:vAlign w:val="center"/>
          </w:tcPr>
          <w:p>
            <w:pPr>
              <w:pStyle w:val="7"/>
              <w:ind w:firstLine="0" w:firstLineChars="0"/>
              <w:jc w:val="center"/>
              <w:rPr>
                <w:rFonts w:hint="eastAsia" w:hAnsi="宋体" w:cs="宋体"/>
                <w:b/>
                <w:bCs/>
                <w:szCs w:val="21"/>
              </w:rPr>
            </w:pPr>
            <w:r>
              <w:rPr>
                <w:rFonts w:hint="eastAsia" w:hAnsi="宋体" w:cs="宋体"/>
                <w:b/>
                <w:bCs/>
                <w:szCs w:val="21"/>
              </w:rPr>
              <w:t>评价指标</w:t>
            </w:r>
          </w:p>
        </w:tc>
        <w:tc>
          <w:tcPr>
            <w:tcW w:w="5265" w:type="dxa"/>
            <w:noWrap w:val="0"/>
            <w:vAlign w:val="center"/>
          </w:tcPr>
          <w:p>
            <w:pPr>
              <w:pStyle w:val="7"/>
              <w:ind w:firstLine="0" w:firstLineChars="0"/>
              <w:jc w:val="center"/>
              <w:rPr>
                <w:rFonts w:hint="eastAsia" w:hAnsi="宋体" w:cs="宋体"/>
                <w:b/>
                <w:bCs/>
                <w:szCs w:val="21"/>
              </w:rPr>
            </w:pPr>
            <w:r>
              <w:rPr>
                <w:rFonts w:hint="eastAsia" w:hAnsi="宋体" w:cs="宋体"/>
                <w:b/>
                <w:bCs/>
                <w:szCs w:val="21"/>
              </w:rPr>
              <w:t>评价方法</w:t>
            </w:r>
          </w:p>
        </w:tc>
        <w:tc>
          <w:tcPr>
            <w:tcW w:w="1090" w:type="dxa"/>
            <w:noWrap w:val="0"/>
            <w:vAlign w:val="center"/>
          </w:tcPr>
          <w:p>
            <w:pPr>
              <w:pStyle w:val="7"/>
              <w:ind w:firstLine="0" w:firstLineChars="0"/>
              <w:jc w:val="center"/>
              <w:rPr>
                <w:rFonts w:hint="eastAsia" w:hAnsi="宋体" w:cs="宋体"/>
                <w:b/>
                <w:bCs/>
                <w:szCs w:val="21"/>
              </w:rPr>
            </w:pPr>
            <w:r>
              <w:rPr>
                <w:rFonts w:hint="eastAsia" w:hAnsi="宋体" w:cs="宋体"/>
                <w:b/>
                <w:bCs/>
                <w:szCs w:val="21"/>
                <w:lang w:val="en-US" w:eastAsia="zh-CN"/>
              </w:rPr>
              <w:t>自我评价</w:t>
            </w:r>
            <w:r>
              <w:rPr>
                <w:rFonts w:hint="eastAsia" w:hAnsi="宋体" w:cs="宋体"/>
                <w:b/>
                <w:bCs/>
                <w:szCs w:val="21"/>
              </w:rPr>
              <w:t>得分</w:t>
            </w:r>
          </w:p>
        </w:tc>
        <w:tc>
          <w:tcPr>
            <w:tcW w:w="2246" w:type="dxa"/>
            <w:noWrap w:val="0"/>
            <w:vAlign w:val="center"/>
          </w:tcPr>
          <w:p>
            <w:pPr>
              <w:pStyle w:val="7"/>
              <w:ind w:firstLine="0" w:firstLineChars="0"/>
              <w:jc w:val="center"/>
              <w:rPr>
                <w:rFonts w:hint="eastAsia" w:hAnsi="宋体" w:cs="宋体"/>
                <w:b/>
                <w:bCs/>
                <w:szCs w:val="21"/>
              </w:rPr>
            </w:pPr>
            <w:r>
              <w:rPr>
                <w:rFonts w:hint="eastAsia" w:hAnsi="宋体" w:cs="宋体"/>
                <w:b/>
                <w:bCs/>
                <w:szCs w:val="21"/>
              </w:rPr>
              <w:t>评价记录</w:t>
            </w:r>
          </w:p>
        </w:tc>
        <w:tc>
          <w:tcPr>
            <w:tcW w:w="886" w:type="dxa"/>
            <w:noWrap w:val="0"/>
            <w:vAlign w:val="center"/>
          </w:tcPr>
          <w:p>
            <w:pPr>
              <w:pStyle w:val="7"/>
              <w:ind w:firstLine="0" w:firstLineChars="0"/>
              <w:jc w:val="center"/>
              <w:rPr>
                <w:rFonts w:hint="eastAsia" w:hAnsi="宋体" w:cs="宋体"/>
                <w:b/>
                <w:bCs/>
                <w:szCs w:val="21"/>
              </w:rPr>
            </w:pPr>
            <w:r>
              <w:rPr>
                <w:rFonts w:hint="eastAsia" w:hAnsi="宋体" w:cs="宋体"/>
                <w:b/>
                <w:bCs/>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7" w:hRule="atLeast"/>
          <w:jc w:val="center"/>
        </w:trPr>
        <w:tc>
          <w:tcPr>
            <w:tcW w:w="1065" w:type="dxa"/>
            <w:vMerge w:val="restart"/>
            <w:noWrap w:val="0"/>
            <w:vAlign w:val="center"/>
          </w:tcPr>
          <w:p>
            <w:pPr>
              <w:pStyle w:val="7"/>
              <w:ind w:firstLine="0" w:firstLineChars="0"/>
              <w:jc w:val="center"/>
              <w:rPr>
                <w:rFonts w:hint="eastAsia" w:hAnsi="宋体" w:cs="宋体"/>
                <w:szCs w:val="21"/>
              </w:rPr>
            </w:pPr>
            <w:r>
              <w:rPr>
                <w:rFonts w:hint="eastAsia" w:hAnsi="宋体" w:cs="宋体"/>
                <w:szCs w:val="21"/>
              </w:rPr>
              <w:t>基础条件</w:t>
            </w:r>
          </w:p>
          <w:p>
            <w:pPr>
              <w:pStyle w:val="7"/>
              <w:ind w:firstLine="0" w:firstLineChars="0"/>
              <w:jc w:val="center"/>
              <w:rPr>
                <w:rFonts w:hint="eastAsia" w:hAnsi="宋体" w:cs="宋体"/>
                <w:szCs w:val="21"/>
              </w:rPr>
            </w:pPr>
            <w:r>
              <w:rPr>
                <w:rFonts w:hint="eastAsia" w:hAnsi="宋体" w:cs="宋体"/>
                <w:szCs w:val="21"/>
              </w:rPr>
              <w:t>10分</w:t>
            </w:r>
          </w:p>
        </w:tc>
        <w:tc>
          <w:tcPr>
            <w:tcW w:w="1230" w:type="dxa"/>
            <w:noWrap w:val="0"/>
            <w:vAlign w:val="center"/>
          </w:tcPr>
          <w:p>
            <w:pPr>
              <w:pStyle w:val="7"/>
              <w:ind w:firstLine="0" w:firstLineChars="0"/>
              <w:jc w:val="center"/>
              <w:rPr>
                <w:rFonts w:hint="eastAsia" w:hAnsi="宋体" w:cs="宋体"/>
                <w:szCs w:val="21"/>
              </w:rPr>
            </w:pPr>
            <w:r>
              <w:rPr>
                <w:rFonts w:hint="eastAsia" w:hAnsi="宋体" w:cs="宋体"/>
                <w:szCs w:val="21"/>
              </w:rPr>
              <w:t>备案登记</w:t>
            </w:r>
          </w:p>
          <w:p>
            <w:pPr>
              <w:pStyle w:val="7"/>
              <w:ind w:firstLine="0" w:firstLineChars="0"/>
              <w:jc w:val="center"/>
              <w:rPr>
                <w:rFonts w:hint="eastAsia" w:hAnsi="宋体" w:cs="宋体"/>
                <w:szCs w:val="21"/>
              </w:rPr>
            </w:pPr>
            <w:r>
              <w:rPr>
                <w:rFonts w:hint="eastAsia" w:hAnsi="宋体" w:cs="宋体"/>
                <w:szCs w:val="21"/>
              </w:rPr>
              <w:t>1分</w:t>
            </w:r>
          </w:p>
        </w:tc>
        <w:tc>
          <w:tcPr>
            <w:tcW w:w="2895" w:type="dxa"/>
            <w:noWrap w:val="0"/>
            <w:vAlign w:val="center"/>
          </w:tcPr>
          <w:p>
            <w:pPr>
              <w:rPr>
                <w:rFonts w:hint="eastAsia" w:ascii="宋体" w:hAnsi="宋体" w:cs="宋体"/>
                <w:szCs w:val="21"/>
              </w:rPr>
            </w:pPr>
            <w:r>
              <w:rPr>
                <w:rFonts w:hint="eastAsia" w:ascii="宋体" w:hAnsi="宋体" w:cs="宋体"/>
                <w:szCs w:val="21"/>
              </w:rPr>
              <w:t>在知识产权主管部门进行备案登记</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查相关文件资料。工作站在理事会同意成立之日起60日内到知识产权主管部门备案并揭牌的，得1分；超过60日的，得0分。</w:t>
            </w:r>
          </w:p>
        </w:tc>
        <w:tc>
          <w:tcPr>
            <w:tcW w:w="1090" w:type="dxa"/>
            <w:noWrap w:val="0"/>
            <w:vAlign w:val="center"/>
          </w:tcPr>
          <w:p>
            <w:pPr>
              <w:pStyle w:val="7"/>
              <w:ind w:firstLine="0" w:firstLineChars="0"/>
              <w:jc w:val="center"/>
              <w:rPr>
                <w:rFonts w:hint="default" w:hAnsi="宋体" w:eastAsia="宋体" w:cs="宋体"/>
                <w:szCs w:val="21"/>
                <w:lang w:val="en-US" w:eastAsia="zh-CN"/>
              </w:rPr>
            </w:pPr>
            <w:r>
              <w:rPr>
                <w:rFonts w:hint="eastAsia" w:hAnsi="宋体" w:cs="宋体"/>
                <w:szCs w:val="21"/>
                <w:lang w:val="en-US" w:eastAsia="zh-CN"/>
              </w:rPr>
              <w:t>例：1分</w:t>
            </w:r>
          </w:p>
        </w:tc>
        <w:tc>
          <w:tcPr>
            <w:tcW w:w="2246" w:type="dxa"/>
            <w:noWrap w:val="0"/>
            <w:vAlign w:val="center"/>
          </w:tcPr>
          <w:p>
            <w:pPr>
              <w:pStyle w:val="7"/>
              <w:ind w:firstLine="0" w:firstLineChars="0"/>
              <w:jc w:val="both"/>
              <w:rPr>
                <w:rFonts w:hint="default" w:hAnsi="宋体" w:eastAsia="宋体" w:cs="宋体"/>
                <w:szCs w:val="21"/>
                <w:lang w:val="en-US" w:eastAsia="zh-CN"/>
              </w:rPr>
            </w:pPr>
            <w:r>
              <w:rPr>
                <w:rFonts w:hint="eastAsia" w:hAnsi="宋体" w:cs="宋体"/>
                <w:szCs w:val="21"/>
                <w:lang w:val="en-US" w:eastAsia="zh-CN"/>
              </w:rPr>
              <w:t>例：理事会在2020年3月1日同意成立工作站，并于2020年4月1日完成揭牌仪式，符合在60日内，得1分。</w:t>
            </w:r>
          </w:p>
        </w:tc>
        <w:tc>
          <w:tcPr>
            <w:tcW w:w="886" w:type="dxa"/>
            <w:noWrap w:val="0"/>
            <w:vAlign w:val="center"/>
          </w:tcPr>
          <w:p>
            <w:pPr>
              <w:pStyle w:val="7"/>
              <w:ind w:firstLine="0" w:firstLineChars="0"/>
              <w:jc w:val="center"/>
              <w:rPr>
                <w:rFonts w:hint="default" w:hAnsi="宋体" w:eastAsia="宋体" w:cs="宋体"/>
                <w:szCs w:val="21"/>
                <w:lang w:val="en-US" w:eastAsia="zh-CN"/>
              </w:rPr>
            </w:pPr>
            <w:r>
              <w:rPr>
                <w:rFonts w:hint="eastAsia" w:hAnsi="宋体" w:cs="宋体"/>
                <w:szCs w:val="21"/>
                <w:lang w:val="en-US" w:eastAsia="zh-CN"/>
              </w:rPr>
              <w:t>例：P10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8"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noWrap w:val="0"/>
            <w:vAlign w:val="center"/>
          </w:tcPr>
          <w:p>
            <w:pPr>
              <w:pStyle w:val="7"/>
              <w:ind w:firstLine="0" w:firstLineChars="0"/>
              <w:jc w:val="center"/>
              <w:rPr>
                <w:rFonts w:hint="eastAsia" w:hAnsi="宋体" w:cs="宋体"/>
                <w:szCs w:val="21"/>
              </w:rPr>
            </w:pPr>
            <w:r>
              <w:rPr>
                <w:rFonts w:hint="eastAsia" w:hAnsi="宋体" w:cs="宋体"/>
                <w:szCs w:val="21"/>
              </w:rPr>
              <w:t>办公场地</w:t>
            </w:r>
          </w:p>
          <w:p>
            <w:pPr>
              <w:pStyle w:val="7"/>
              <w:ind w:firstLine="0" w:firstLineChars="0"/>
              <w:jc w:val="center"/>
              <w:rPr>
                <w:rFonts w:hint="eastAsia" w:hAnsi="宋体" w:cs="宋体"/>
                <w:szCs w:val="21"/>
              </w:rPr>
            </w:pPr>
            <w:r>
              <w:rPr>
                <w:rFonts w:hint="eastAsia" w:hAnsi="宋体" w:cs="宋体"/>
                <w:szCs w:val="21"/>
              </w:rPr>
              <w:t>3分</w:t>
            </w:r>
          </w:p>
        </w:tc>
        <w:tc>
          <w:tcPr>
            <w:tcW w:w="2895" w:type="dxa"/>
            <w:noWrap w:val="0"/>
            <w:vAlign w:val="center"/>
          </w:tcPr>
          <w:p>
            <w:pPr>
              <w:rPr>
                <w:rFonts w:hint="eastAsia" w:ascii="宋体" w:hAnsi="宋体" w:cs="宋体"/>
                <w:szCs w:val="21"/>
              </w:rPr>
            </w:pPr>
            <w:r>
              <w:rPr>
                <w:rFonts w:hint="eastAsia" w:ascii="宋体" w:hAnsi="宋体" w:cs="宋体"/>
                <w:szCs w:val="21"/>
              </w:rPr>
              <w:t>具有固定的服务场所，配备基本的办公软、硬件设备，并在服务场所标明工作站标志</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有固定的服务场所，配备较完善的办公软、硬件设施及其他相关设施的，并在服务场所标明工作站标志的，得3分；有固定服务场所但办公设施不齐全的，或无固定服务场所但有配备基本办公设施的，或服务场所未标明工作站标志的，得1～2分；无固定服务场所及办公软、硬件设施的，且服务场所未标明工作站标志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5"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noWrap w:val="0"/>
            <w:vAlign w:val="center"/>
          </w:tcPr>
          <w:p>
            <w:pPr>
              <w:pStyle w:val="7"/>
              <w:ind w:firstLine="0" w:firstLineChars="0"/>
              <w:jc w:val="center"/>
              <w:rPr>
                <w:rFonts w:hint="eastAsia" w:hAnsi="宋体" w:cs="宋体"/>
                <w:szCs w:val="21"/>
              </w:rPr>
            </w:pPr>
            <w:r>
              <w:rPr>
                <w:rFonts w:hint="eastAsia" w:hAnsi="宋体" w:cs="宋体"/>
                <w:szCs w:val="21"/>
              </w:rPr>
              <w:t>服务会员和行业企业规模</w:t>
            </w:r>
          </w:p>
          <w:p>
            <w:pPr>
              <w:pStyle w:val="7"/>
              <w:ind w:firstLine="0" w:firstLineChars="0"/>
              <w:jc w:val="center"/>
              <w:rPr>
                <w:rFonts w:hint="eastAsia" w:hAnsi="宋体" w:cs="宋体"/>
                <w:szCs w:val="21"/>
              </w:rPr>
            </w:pPr>
            <w:r>
              <w:rPr>
                <w:rFonts w:hint="eastAsia" w:hAnsi="宋体" w:cs="宋体"/>
                <w:szCs w:val="21"/>
              </w:rPr>
              <w:t>4分</w:t>
            </w:r>
          </w:p>
        </w:tc>
        <w:tc>
          <w:tcPr>
            <w:tcW w:w="2895" w:type="dxa"/>
            <w:noWrap w:val="0"/>
            <w:vAlign w:val="center"/>
          </w:tcPr>
          <w:p>
            <w:pPr>
              <w:rPr>
                <w:rFonts w:hint="eastAsia" w:ascii="宋体" w:hAnsi="宋体" w:cs="宋体"/>
                <w:szCs w:val="21"/>
              </w:rPr>
            </w:pPr>
            <w:r>
              <w:rPr>
                <w:rFonts w:hint="eastAsia" w:ascii="宋体" w:hAnsi="宋体" w:cs="宋体"/>
                <w:szCs w:val="21"/>
              </w:rPr>
              <w:t>服务会员和行业企业的数量</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查相关文件资料。服务会员和行业企业数量在200家及以上，得4分；服务数量在100～200家（不含）的，得3分；服务数量在50～100家（不含）的，得2分；服务数量不足50家的，得1分。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6"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noWrap w:val="0"/>
            <w:vAlign w:val="center"/>
          </w:tcPr>
          <w:p>
            <w:pPr>
              <w:pStyle w:val="7"/>
              <w:ind w:firstLine="0" w:firstLineChars="0"/>
              <w:jc w:val="center"/>
              <w:rPr>
                <w:rFonts w:hint="eastAsia" w:hAnsi="宋体" w:cs="宋体"/>
                <w:szCs w:val="21"/>
              </w:rPr>
            </w:pPr>
            <w:r>
              <w:rPr>
                <w:rFonts w:hint="eastAsia" w:hAnsi="宋体" w:cs="宋体"/>
                <w:szCs w:val="21"/>
              </w:rPr>
              <w:t>参与知识产权保护工作站联盟活动</w:t>
            </w:r>
          </w:p>
          <w:p>
            <w:pPr>
              <w:pStyle w:val="7"/>
              <w:ind w:firstLine="0" w:firstLineChars="0"/>
              <w:jc w:val="center"/>
              <w:rPr>
                <w:rFonts w:hint="eastAsia" w:hAnsi="宋体" w:cs="宋体"/>
                <w:szCs w:val="21"/>
              </w:rPr>
            </w:pPr>
            <w:r>
              <w:rPr>
                <w:rFonts w:hint="eastAsia" w:hAnsi="宋体" w:cs="宋体"/>
                <w:szCs w:val="21"/>
              </w:rPr>
              <w:t>2分</w:t>
            </w:r>
          </w:p>
        </w:tc>
        <w:tc>
          <w:tcPr>
            <w:tcW w:w="2895" w:type="dxa"/>
            <w:noWrap w:val="0"/>
            <w:vAlign w:val="center"/>
          </w:tcPr>
          <w:p>
            <w:pPr>
              <w:rPr>
                <w:rFonts w:hint="eastAsia" w:ascii="宋体" w:hAnsi="宋体" w:cs="宋体"/>
                <w:kern w:val="0"/>
                <w:szCs w:val="21"/>
              </w:rPr>
            </w:pPr>
            <w:r>
              <w:rPr>
                <w:rFonts w:hint="eastAsia" w:ascii="宋体" w:hAnsi="宋体" w:cs="宋体"/>
                <w:kern w:val="0"/>
                <w:szCs w:val="21"/>
              </w:rPr>
              <w:t>加入深圳市知识产权保护工作站联盟，并参与相关活动</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加入深圳市知识产权保护工作站联盟，并参加知识产权保护工作站联盟组织的相关活动或工作，得2分；仅加入知识产权保护工作站联盟或仅参加知识产权保护工作站联盟组织的相关活动，得1分；未加入知识产权保护工作站联盟且未参加其组织活动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2" w:hRule="atLeast"/>
          <w:jc w:val="center"/>
        </w:trPr>
        <w:tc>
          <w:tcPr>
            <w:tcW w:w="1065" w:type="dxa"/>
            <w:vMerge w:val="restart"/>
            <w:noWrap w:val="0"/>
            <w:vAlign w:val="center"/>
          </w:tcPr>
          <w:p>
            <w:pPr>
              <w:pStyle w:val="7"/>
              <w:ind w:firstLine="0" w:firstLineChars="0"/>
              <w:jc w:val="center"/>
              <w:rPr>
                <w:rFonts w:hint="eastAsia" w:hAnsi="宋体" w:cs="宋体"/>
                <w:szCs w:val="21"/>
              </w:rPr>
            </w:pPr>
            <w:r>
              <w:rPr>
                <w:rFonts w:hint="eastAsia" w:hAnsi="宋体" w:cs="宋体"/>
                <w:szCs w:val="21"/>
              </w:rPr>
              <w:t>人员情况</w:t>
            </w:r>
          </w:p>
          <w:p>
            <w:pPr>
              <w:pStyle w:val="7"/>
              <w:ind w:firstLine="0" w:firstLineChars="0"/>
              <w:jc w:val="center"/>
              <w:rPr>
                <w:rFonts w:hint="eastAsia" w:hAnsi="宋体" w:cs="宋体"/>
                <w:szCs w:val="21"/>
              </w:rPr>
            </w:pPr>
            <w:r>
              <w:rPr>
                <w:rFonts w:hint="eastAsia" w:hAnsi="宋体" w:cs="宋体"/>
                <w:szCs w:val="21"/>
              </w:rPr>
              <w:t>15分</w:t>
            </w:r>
          </w:p>
        </w:tc>
        <w:tc>
          <w:tcPr>
            <w:tcW w:w="1230" w:type="dxa"/>
            <w:noWrap w:val="0"/>
            <w:vAlign w:val="center"/>
          </w:tcPr>
          <w:p>
            <w:pPr>
              <w:pStyle w:val="7"/>
              <w:ind w:firstLine="0" w:firstLineChars="0"/>
              <w:jc w:val="center"/>
              <w:rPr>
                <w:rFonts w:hint="eastAsia" w:hAnsi="宋体" w:cs="宋体"/>
                <w:szCs w:val="21"/>
              </w:rPr>
            </w:pPr>
            <w:r>
              <w:rPr>
                <w:rFonts w:hint="eastAsia" w:hAnsi="宋体" w:cs="宋体"/>
                <w:szCs w:val="21"/>
              </w:rPr>
              <w:t>工作人员</w:t>
            </w:r>
          </w:p>
          <w:p>
            <w:pPr>
              <w:pStyle w:val="7"/>
              <w:ind w:firstLine="0" w:firstLineChars="0"/>
              <w:jc w:val="center"/>
              <w:rPr>
                <w:rFonts w:hint="eastAsia" w:hAnsi="宋体" w:cs="宋体"/>
                <w:szCs w:val="21"/>
              </w:rPr>
            </w:pPr>
            <w:r>
              <w:rPr>
                <w:rFonts w:hint="eastAsia" w:hAnsi="宋体" w:cs="宋体"/>
                <w:szCs w:val="21"/>
              </w:rPr>
              <w:t>5分</w:t>
            </w:r>
          </w:p>
        </w:tc>
        <w:tc>
          <w:tcPr>
            <w:tcW w:w="2895" w:type="dxa"/>
            <w:noWrap w:val="0"/>
            <w:vAlign w:val="center"/>
          </w:tcPr>
          <w:p>
            <w:pPr>
              <w:pStyle w:val="8"/>
              <w:numPr>
                <w:ilvl w:val="0"/>
                <w:numId w:val="0"/>
              </w:numPr>
              <w:rPr>
                <w:rFonts w:hint="eastAsia" w:hAnsi="宋体" w:cs="宋体"/>
                <w:szCs w:val="21"/>
              </w:rPr>
            </w:pPr>
            <w:r>
              <w:rPr>
                <w:rFonts w:hint="eastAsia" w:hAnsi="宋体" w:cs="宋体"/>
                <w:szCs w:val="21"/>
              </w:rPr>
              <w:t>至少配备2名大专及以上学历专职或兼职从事知识产权服务人员；工作人员具有一定知识产权等知识</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有2名或以上专职或兼职从事知识产权服务的人员，具备大专及以上学历，具有知识产权等法律相关的学历或证书的，得5分；配备知识产权工作人员，但人数、人员学历及知识储备不能满足要求的，得1～4分；未配备知识产权工作人员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5"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noWrap w:val="0"/>
            <w:vAlign w:val="center"/>
          </w:tcPr>
          <w:p>
            <w:pPr>
              <w:jc w:val="center"/>
              <w:rPr>
                <w:rFonts w:hint="eastAsia" w:ascii="宋体" w:hAnsi="宋体" w:cs="宋体"/>
                <w:szCs w:val="21"/>
              </w:rPr>
            </w:pPr>
            <w:r>
              <w:rPr>
                <w:rFonts w:hint="eastAsia" w:ascii="宋体" w:hAnsi="宋体" w:cs="宋体"/>
                <w:szCs w:val="21"/>
              </w:rPr>
              <w:t>工作站管理者</w:t>
            </w:r>
          </w:p>
          <w:p>
            <w:pPr>
              <w:pStyle w:val="7"/>
              <w:ind w:firstLine="0" w:firstLineChars="0"/>
              <w:jc w:val="center"/>
              <w:rPr>
                <w:rFonts w:hint="eastAsia" w:hAnsi="宋体" w:cs="宋体"/>
                <w:szCs w:val="21"/>
              </w:rPr>
            </w:pPr>
            <w:r>
              <w:rPr>
                <w:rFonts w:hint="eastAsia" w:hAnsi="宋体" w:cs="宋体"/>
                <w:szCs w:val="21"/>
              </w:rPr>
              <w:t>5分</w:t>
            </w:r>
          </w:p>
        </w:tc>
        <w:tc>
          <w:tcPr>
            <w:tcW w:w="2895" w:type="dxa"/>
            <w:noWrap w:val="0"/>
            <w:vAlign w:val="center"/>
          </w:tcPr>
          <w:p>
            <w:pPr>
              <w:rPr>
                <w:rFonts w:hint="eastAsia" w:ascii="宋体" w:hAnsi="宋体" w:cs="宋体"/>
                <w:szCs w:val="21"/>
              </w:rPr>
            </w:pPr>
            <w:r>
              <w:rPr>
                <w:rFonts w:hint="eastAsia" w:ascii="宋体" w:hAnsi="宋体" w:cs="宋体"/>
                <w:szCs w:val="21"/>
              </w:rPr>
              <w:t>在工作站所属单位管理层中指定专人作为工作站管理者，工作站管理者具备一定的管理经验，并有知识产权相关知识储备</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工作站管理者由所属单位管理层担任，具备3年以上行业管理经验，并有知识产权等法律相关学历或证书的，得5分；工作站管理者不属于工作站所属单位管理层，或不足3年的管理经验，或未有知识产权等法律相关学历或证书的，得1～4分；工作站管理者不属于管理层、管理经验不足3年，且知识产权知识储备不足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7"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noWrap w:val="0"/>
            <w:vAlign w:val="center"/>
          </w:tcPr>
          <w:p>
            <w:pPr>
              <w:pStyle w:val="7"/>
              <w:ind w:firstLine="0" w:firstLineChars="0"/>
              <w:jc w:val="center"/>
              <w:rPr>
                <w:rFonts w:hint="eastAsia" w:hAnsi="宋体" w:cs="宋体"/>
                <w:szCs w:val="21"/>
              </w:rPr>
            </w:pPr>
            <w:r>
              <w:rPr>
                <w:rFonts w:hint="eastAsia" w:hAnsi="宋体" w:cs="宋体"/>
                <w:szCs w:val="21"/>
              </w:rPr>
              <w:t>人员持续学习</w:t>
            </w:r>
          </w:p>
          <w:p>
            <w:pPr>
              <w:pStyle w:val="7"/>
              <w:ind w:firstLine="0" w:firstLineChars="0"/>
              <w:jc w:val="center"/>
              <w:rPr>
                <w:rFonts w:hint="eastAsia" w:hAnsi="宋体" w:cs="宋体"/>
                <w:szCs w:val="21"/>
              </w:rPr>
            </w:pPr>
            <w:r>
              <w:rPr>
                <w:rFonts w:hint="eastAsia" w:hAnsi="宋体" w:cs="宋体"/>
                <w:szCs w:val="21"/>
              </w:rPr>
              <w:t>5分</w:t>
            </w:r>
          </w:p>
        </w:tc>
        <w:tc>
          <w:tcPr>
            <w:tcW w:w="2895" w:type="dxa"/>
            <w:noWrap w:val="0"/>
            <w:vAlign w:val="center"/>
          </w:tcPr>
          <w:p>
            <w:pPr>
              <w:rPr>
                <w:rFonts w:hint="eastAsia" w:ascii="宋体" w:hAnsi="宋体" w:cs="宋体"/>
                <w:szCs w:val="21"/>
              </w:rPr>
            </w:pPr>
            <w:r>
              <w:rPr>
                <w:rFonts w:hint="eastAsia" w:ascii="宋体" w:hAnsi="宋体" w:cs="宋体"/>
                <w:szCs w:val="21"/>
              </w:rPr>
              <w:t>参加政府部门或有关专业机构主办的知识产权相关培训</w:t>
            </w:r>
          </w:p>
        </w:tc>
        <w:tc>
          <w:tcPr>
            <w:tcW w:w="5265" w:type="dxa"/>
            <w:noWrap w:val="0"/>
            <w:vAlign w:val="center"/>
          </w:tcPr>
          <w:p>
            <w:pPr>
              <w:rPr>
                <w:rFonts w:hint="eastAsia" w:ascii="宋体" w:hAnsi="宋体" w:cs="宋体"/>
                <w:szCs w:val="21"/>
              </w:rPr>
            </w:pPr>
            <w:r>
              <w:rPr>
                <w:rFonts w:hint="eastAsia" w:ascii="宋体" w:hAnsi="宋体" w:cs="宋体"/>
                <w:szCs w:val="21"/>
              </w:rPr>
              <w:t xml:space="preserve">查相关文件资料。工作人员参加政府部门或有关专业机构主办的知识产权相关培训次数在3次及以上的，得5分；培训次数在1～2次的，得1～4分；未参加过培训的，得0分。 </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96" w:hRule="atLeast"/>
          <w:jc w:val="center"/>
        </w:trPr>
        <w:tc>
          <w:tcPr>
            <w:tcW w:w="1065" w:type="dxa"/>
            <w:noWrap w:val="0"/>
            <w:vAlign w:val="center"/>
          </w:tcPr>
          <w:p>
            <w:pPr>
              <w:pStyle w:val="7"/>
              <w:ind w:firstLine="0" w:firstLineChars="0"/>
              <w:jc w:val="center"/>
              <w:rPr>
                <w:rFonts w:hint="eastAsia" w:hAnsi="宋体" w:cs="宋体"/>
                <w:szCs w:val="21"/>
              </w:rPr>
            </w:pPr>
            <w:r>
              <w:rPr>
                <w:rFonts w:hint="eastAsia" w:hAnsi="宋体" w:cs="宋体"/>
                <w:szCs w:val="21"/>
              </w:rPr>
              <w:t>经费情况</w:t>
            </w:r>
          </w:p>
          <w:p>
            <w:pPr>
              <w:pStyle w:val="7"/>
              <w:ind w:firstLine="0" w:firstLineChars="0"/>
              <w:jc w:val="center"/>
              <w:rPr>
                <w:rFonts w:hint="eastAsia" w:hAnsi="宋体" w:cs="宋体"/>
                <w:szCs w:val="21"/>
              </w:rPr>
            </w:pPr>
            <w:r>
              <w:rPr>
                <w:rFonts w:hint="eastAsia" w:hAnsi="宋体" w:cs="宋体"/>
                <w:szCs w:val="21"/>
              </w:rPr>
              <w:t>5分</w:t>
            </w:r>
          </w:p>
        </w:tc>
        <w:tc>
          <w:tcPr>
            <w:tcW w:w="1230" w:type="dxa"/>
            <w:noWrap w:val="0"/>
            <w:vAlign w:val="center"/>
          </w:tcPr>
          <w:p>
            <w:pPr>
              <w:pStyle w:val="7"/>
              <w:ind w:firstLine="0" w:firstLineChars="0"/>
              <w:jc w:val="center"/>
              <w:rPr>
                <w:rFonts w:hint="eastAsia" w:hAnsi="宋体" w:cs="宋体"/>
                <w:szCs w:val="21"/>
              </w:rPr>
            </w:pPr>
            <w:r>
              <w:rPr>
                <w:rFonts w:hint="eastAsia" w:hAnsi="宋体" w:cs="宋体"/>
                <w:szCs w:val="21"/>
              </w:rPr>
              <w:t>经费情况</w:t>
            </w:r>
          </w:p>
          <w:p>
            <w:pPr>
              <w:pStyle w:val="7"/>
              <w:ind w:firstLine="0" w:firstLineChars="0"/>
              <w:jc w:val="center"/>
              <w:rPr>
                <w:rFonts w:hint="eastAsia" w:hAnsi="宋体" w:cs="宋体"/>
                <w:szCs w:val="21"/>
              </w:rPr>
            </w:pPr>
            <w:r>
              <w:rPr>
                <w:rFonts w:hint="eastAsia" w:hAnsi="宋体" w:cs="宋体"/>
                <w:szCs w:val="21"/>
              </w:rPr>
              <w:t>5分</w:t>
            </w:r>
          </w:p>
        </w:tc>
        <w:tc>
          <w:tcPr>
            <w:tcW w:w="2895" w:type="dxa"/>
            <w:noWrap w:val="0"/>
            <w:vAlign w:val="center"/>
          </w:tcPr>
          <w:p>
            <w:pPr>
              <w:pStyle w:val="7"/>
              <w:ind w:firstLine="0" w:firstLineChars="0"/>
              <w:rPr>
                <w:rFonts w:hint="eastAsia" w:hAnsi="宋体" w:cs="宋体"/>
                <w:szCs w:val="21"/>
              </w:rPr>
            </w:pPr>
            <w:r>
              <w:rPr>
                <w:rFonts w:hint="eastAsia" w:hAnsi="宋体" w:cs="宋体"/>
                <w:szCs w:val="21"/>
              </w:rPr>
              <w:t>提供常规性知识产权工作经费，经费设置合理，专款专用</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有提供常规性知识产权工作经费，并综合考虑工作站实际情况，各项费用分配合理，且运作费用充足的，得5分；有提供常规性知识产权工作经费，且按照各项工作有分配经费的，得2～4分；有提供常规性知识产权工作经费，但未分配各项工作经费的，得0～1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13" w:hRule="atLeast"/>
          <w:jc w:val="center"/>
        </w:trPr>
        <w:tc>
          <w:tcPr>
            <w:tcW w:w="1065" w:type="dxa"/>
            <w:noWrap w:val="0"/>
            <w:vAlign w:val="center"/>
          </w:tcPr>
          <w:p>
            <w:pPr>
              <w:pStyle w:val="7"/>
              <w:ind w:firstLine="0" w:firstLineChars="0"/>
              <w:jc w:val="center"/>
              <w:rPr>
                <w:rFonts w:hint="eastAsia" w:hAnsi="宋体" w:cs="宋体"/>
                <w:szCs w:val="21"/>
              </w:rPr>
            </w:pPr>
            <w:r>
              <w:rPr>
                <w:rFonts w:hint="eastAsia" w:hAnsi="宋体" w:cs="宋体"/>
                <w:szCs w:val="21"/>
              </w:rPr>
              <w:t>工作机制</w:t>
            </w:r>
          </w:p>
          <w:p>
            <w:pPr>
              <w:pStyle w:val="7"/>
              <w:ind w:firstLine="0" w:firstLineChars="0"/>
              <w:jc w:val="center"/>
              <w:rPr>
                <w:rFonts w:hint="eastAsia" w:hAnsi="宋体" w:cs="宋体"/>
                <w:szCs w:val="21"/>
              </w:rPr>
            </w:pPr>
            <w:r>
              <w:rPr>
                <w:rFonts w:hint="eastAsia" w:hAnsi="宋体" w:cs="宋体"/>
                <w:szCs w:val="21"/>
              </w:rPr>
              <w:t>5分</w:t>
            </w:r>
          </w:p>
        </w:tc>
        <w:tc>
          <w:tcPr>
            <w:tcW w:w="1230" w:type="dxa"/>
            <w:noWrap w:val="0"/>
            <w:vAlign w:val="center"/>
          </w:tcPr>
          <w:p>
            <w:pPr>
              <w:pStyle w:val="7"/>
              <w:ind w:firstLine="0" w:firstLineChars="0"/>
              <w:jc w:val="center"/>
              <w:rPr>
                <w:rFonts w:hint="eastAsia" w:hAnsi="宋体" w:cs="宋体"/>
                <w:szCs w:val="21"/>
              </w:rPr>
            </w:pPr>
            <w:r>
              <w:rPr>
                <w:rFonts w:hint="eastAsia" w:hAnsi="宋体" w:cs="宋体"/>
                <w:szCs w:val="21"/>
              </w:rPr>
              <w:t>建立的知识产权工作机制</w:t>
            </w:r>
          </w:p>
          <w:p>
            <w:pPr>
              <w:pStyle w:val="7"/>
              <w:ind w:firstLine="0" w:firstLineChars="0"/>
              <w:jc w:val="center"/>
              <w:rPr>
                <w:rFonts w:hint="eastAsia" w:hAnsi="宋体" w:cs="宋体"/>
                <w:szCs w:val="21"/>
              </w:rPr>
            </w:pPr>
            <w:r>
              <w:rPr>
                <w:rFonts w:hint="eastAsia" w:hAnsi="宋体" w:cs="宋体"/>
                <w:szCs w:val="21"/>
              </w:rPr>
              <w:t>5分</w:t>
            </w:r>
          </w:p>
        </w:tc>
        <w:tc>
          <w:tcPr>
            <w:tcW w:w="2895" w:type="dxa"/>
            <w:noWrap w:val="0"/>
            <w:vAlign w:val="center"/>
          </w:tcPr>
          <w:p>
            <w:pPr>
              <w:pStyle w:val="7"/>
              <w:ind w:firstLine="0" w:firstLineChars="0"/>
              <w:rPr>
                <w:rFonts w:hint="eastAsia" w:hAnsi="宋体" w:cs="宋体"/>
                <w:szCs w:val="21"/>
              </w:rPr>
            </w:pPr>
            <w:r>
              <w:rPr>
                <w:rFonts w:hint="eastAsia" w:hAnsi="宋体" w:cs="宋体"/>
                <w:szCs w:val="21"/>
              </w:rPr>
              <w:t>建立的知识产权工作机制</w:t>
            </w:r>
          </w:p>
        </w:tc>
        <w:tc>
          <w:tcPr>
            <w:tcW w:w="5265" w:type="dxa"/>
            <w:noWrap w:val="0"/>
            <w:vAlign w:val="center"/>
          </w:tcPr>
          <w:p>
            <w:pPr>
              <w:pStyle w:val="8"/>
              <w:numPr>
                <w:ilvl w:val="0"/>
                <w:numId w:val="0"/>
              </w:numPr>
              <w:rPr>
                <w:rFonts w:hint="eastAsia" w:hAnsi="宋体" w:cs="宋体"/>
                <w:szCs w:val="21"/>
              </w:rPr>
            </w:pPr>
            <w:r>
              <w:rPr>
                <w:rFonts w:hint="eastAsia" w:hAnsi="宋体" w:cs="宋体"/>
                <w:szCs w:val="21"/>
              </w:rPr>
              <w:t>查相关文件资料。有建立的知识产权工作机制，包含宣传培训制度、业务指导制度、维权援助制度、纠纷调解制度、信息获取、公示、沟通和报送制度等的，得5分；有建立工作机制，但制度不齐全的，得1～4分；未建立工作机制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1065" w:type="dxa"/>
            <w:vMerge w:val="restart"/>
            <w:noWrap w:val="0"/>
            <w:vAlign w:val="center"/>
          </w:tcPr>
          <w:p>
            <w:pPr>
              <w:pStyle w:val="7"/>
              <w:ind w:firstLine="0" w:firstLineChars="0"/>
              <w:jc w:val="center"/>
              <w:rPr>
                <w:rFonts w:hint="eastAsia" w:hAnsi="宋体" w:cs="宋体"/>
                <w:szCs w:val="21"/>
              </w:rPr>
            </w:pPr>
            <w:r>
              <w:rPr>
                <w:rFonts w:hint="eastAsia" w:hAnsi="宋体" w:cs="宋体"/>
                <w:szCs w:val="21"/>
              </w:rPr>
              <w:t>工作规划和工作报送情况</w:t>
            </w:r>
          </w:p>
          <w:p>
            <w:pPr>
              <w:pStyle w:val="7"/>
              <w:ind w:firstLine="0" w:firstLineChars="0"/>
              <w:jc w:val="center"/>
              <w:rPr>
                <w:rFonts w:hint="eastAsia" w:hAnsi="宋体" w:cs="宋体"/>
                <w:szCs w:val="21"/>
              </w:rPr>
            </w:pPr>
            <w:r>
              <w:rPr>
                <w:rFonts w:hint="eastAsia" w:hAnsi="宋体" w:cs="宋体"/>
                <w:szCs w:val="21"/>
              </w:rPr>
              <w:t>10分</w:t>
            </w:r>
          </w:p>
        </w:tc>
        <w:tc>
          <w:tcPr>
            <w:tcW w:w="1230" w:type="dxa"/>
            <w:noWrap w:val="0"/>
            <w:vAlign w:val="center"/>
          </w:tcPr>
          <w:p>
            <w:pPr>
              <w:pStyle w:val="7"/>
              <w:ind w:firstLine="0" w:firstLineChars="0"/>
              <w:jc w:val="center"/>
              <w:rPr>
                <w:rFonts w:hint="eastAsia" w:hAnsi="宋体" w:cs="宋体"/>
                <w:szCs w:val="21"/>
              </w:rPr>
            </w:pPr>
            <w:r>
              <w:rPr>
                <w:rFonts w:hint="eastAsia" w:hAnsi="宋体" w:cs="宋体"/>
                <w:szCs w:val="21"/>
              </w:rPr>
              <w:t>工作规划</w:t>
            </w:r>
          </w:p>
          <w:p>
            <w:pPr>
              <w:pStyle w:val="7"/>
              <w:ind w:firstLine="0" w:firstLineChars="0"/>
              <w:jc w:val="center"/>
              <w:rPr>
                <w:rFonts w:hint="eastAsia" w:hAnsi="宋体" w:cs="宋体"/>
                <w:szCs w:val="21"/>
              </w:rPr>
            </w:pPr>
            <w:r>
              <w:rPr>
                <w:rFonts w:hint="eastAsia" w:hAnsi="宋体" w:cs="宋体"/>
                <w:szCs w:val="21"/>
              </w:rPr>
              <w:t>5分</w:t>
            </w:r>
          </w:p>
        </w:tc>
        <w:tc>
          <w:tcPr>
            <w:tcW w:w="2895" w:type="dxa"/>
            <w:noWrap w:val="0"/>
            <w:vAlign w:val="center"/>
          </w:tcPr>
          <w:p>
            <w:pPr>
              <w:pStyle w:val="7"/>
              <w:ind w:firstLine="0" w:firstLineChars="0"/>
              <w:rPr>
                <w:rFonts w:hint="eastAsia" w:hAnsi="宋体" w:cs="宋体"/>
                <w:szCs w:val="21"/>
              </w:rPr>
            </w:pPr>
            <w:r>
              <w:rPr>
                <w:rFonts w:hint="eastAsia" w:hAnsi="宋体" w:cs="宋体"/>
                <w:szCs w:val="21"/>
              </w:rPr>
              <w:t>结合工作站和会员、行业的知识产权实际情况和需求等，制定知识产权年度工作规划。</w:t>
            </w:r>
          </w:p>
          <w:p>
            <w:pPr>
              <w:pStyle w:val="7"/>
              <w:ind w:firstLine="0" w:firstLineChars="0"/>
              <w:rPr>
                <w:rFonts w:hint="eastAsia" w:hAnsi="宋体" w:cs="宋体"/>
                <w:szCs w:val="21"/>
              </w:rPr>
            </w:pPr>
            <w:r>
              <w:rPr>
                <w:rFonts w:hint="eastAsia" w:hAnsi="宋体" w:cs="宋体"/>
                <w:szCs w:val="21"/>
              </w:rPr>
              <w:t>年度工作规划包含宣传培训、业务指导、维权援助、纠纷调解、孵化运营和监测分析等工作计划和工作内容</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有制定知识产权年度工作规划，能综合考虑工作站实际情况，会员和行业企业的知识产权需求、现有知识产权情况以及行业知识产权发展状况等，在工作规划中包含宣传培训、业务指导、维权援助、纠纷调解、监测分析等工作的内容，具备可行性的，得5分；知识产权年度工作规划包含了宣传培训、业务指导、维权援助、纠纷调解、孵化运营和监测分析等方面的内容，具备一定的合理性和可行性的，得1～4分；未制定知识产权年度工作规划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0"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noWrap w:val="0"/>
            <w:vAlign w:val="center"/>
          </w:tcPr>
          <w:p>
            <w:pPr>
              <w:pStyle w:val="7"/>
              <w:ind w:firstLine="0" w:firstLineChars="0"/>
              <w:jc w:val="center"/>
              <w:rPr>
                <w:rFonts w:hint="eastAsia" w:hAnsi="宋体" w:cs="宋体"/>
                <w:szCs w:val="21"/>
              </w:rPr>
            </w:pPr>
            <w:r>
              <w:rPr>
                <w:rFonts w:hint="eastAsia" w:hAnsi="宋体" w:cs="宋体"/>
                <w:szCs w:val="21"/>
              </w:rPr>
              <w:t>工作报送</w:t>
            </w:r>
          </w:p>
          <w:p>
            <w:pPr>
              <w:pStyle w:val="7"/>
              <w:ind w:firstLine="0" w:firstLineChars="0"/>
              <w:jc w:val="center"/>
              <w:rPr>
                <w:rFonts w:hint="eastAsia" w:hAnsi="宋体" w:cs="宋体"/>
                <w:szCs w:val="21"/>
              </w:rPr>
            </w:pPr>
            <w:r>
              <w:rPr>
                <w:rFonts w:hint="eastAsia" w:hAnsi="宋体" w:cs="宋体"/>
                <w:szCs w:val="21"/>
              </w:rPr>
              <w:t>5分</w:t>
            </w:r>
          </w:p>
        </w:tc>
        <w:tc>
          <w:tcPr>
            <w:tcW w:w="2895" w:type="dxa"/>
            <w:noWrap w:val="0"/>
            <w:vAlign w:val="center"/>
          </w:tcPr>
          <w:p>
            <w:pPr>
              <w:pStyle w:val="7"/>
              <w:ind w:firstLine="0" w:firstLineChars="0"/>
              <w:rPr>
                <w:rFonts w:hint="eastAsia" w:hAnsi="宋体" w:cs="宋体"/>
                <w:szCs w:val="21"/>
              </w:rPr>
            </w:pPr>
            <w:r>
              <w:rPr>
                <w:rFonts w:hint="eastAsia" w:hAnsi="宋体" w:cs="宋体"/>
                <w:szCs w:val="21"/>
              </w:rPr>
              <w:t>向深圳市知识产权保护工作站联盟报送年度工作保护工作站工作报告、季度知识产权工作信息反馈表</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每年第一季度报送年度工作保护工作站工作报告，且每季度报送季度知识产权工作信息反馈表，得5分；报送年度工作保护工作站工作报告或季度知识产权工作信息反馈表不齐全的，得1～4分；未报送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7" w:hRule="atLeast"/>
          <w:jc w:val="center"/>
        </w:trPr>
        <w:tc>
          <w:tcPr>
            <w:tcW w:w="1065" w:type="dxa"/>
            <w:vMerge w:val="restart"/>
            <w:noWrap w:val="0"/>
            <w:vAlign w:val="center"/>
          </w:tcPr>
          <w:p>
            <w:pPr>
              <w:pStyle w:val="7"/>
              <w:ind w:firstLine="0" w:firstLineChars="0"/>
              <w:jc w:val="center"/>
              <w:rPr>
                <w:rFonts w:hint="eastAsia" w:hAnsi="宋体" w:cs="宋体"/>
                <w:szCs w:val="21"/>
              </w:rPr>
            </w:pPr>
            <w:r>
              <w:rPr>
                <w:rFonts w:hint="eastAsia" w:hAnsi="宋体" w:cs="宋体"/>
                <w:szCs w:val="21"/>
              </w:rPr>
              <w:t>开展工作情况</w:t>
            </w:r>
          </w:p>
          <w:p>
            <w:pPr>
              <w:pStyle w:val="7"/>
              <w:ind w:firstLine="0" w:firstLineChars="0"/>
              <w:jc w:val="center"/>
              <w:rPr>
                <w:rFonts w:hint="eastAsia" w:hAnsi="宋体" w:cs="宋体"/>
                <w:szCs w:val="21"/>
              </w:rPr>
            </w:pPr>
            <w:r>
              <w:rPr>
                <w:rFonts w:hint="eastAsia" w:hAnsi="宋体" w:cs="宋体"/>
                <w:szCs w:val="21"/>
              </w:rPr>
              <w:t>50分</w:t>
            </w:r>
          </w:p>
        </w:tc>
        <w:tc>
          <w:tcPr>
            <w:tcW w:w="1230" w:type="dxa"/>
            <w:vMerge w:val="restart"/>
            <w:noWrap w:val="0"/>
            <w:vAlign w:val="center"/>
          </w:tcPr>
          <w:p>
            <w:pPr>
              <w:pStyle w:val="7"/>
              <w:ind w:firstLine="0" w:firstLineChars="0"/>
              <w:jc w:val="center"/>
              <w:rPr>
                <w:rFonts w:hint="eastAsia" w:hAnsi="宋体" w:cs="宋体"/>
                <w:szCs w:val="21"/>
              </w:rPr>
            </w:pPr>
            <w:r>
              <w:rPr>
                <w:rFonts w:hint="eastAsia" w:hAnsi="宋体" w:cs="宋体"/>
                <w:szCs w:val="21"/>
              </w:rPr>
              <w:t>宣传培训</w:t>
            </w:r>
          </w:p>
          <w:p>
            <w:pPr>
              <w:pStyle w:val="7"/>
              <w:ind w:firstLine="0" w:firstLineChars="0"/>
              <w:jc w:val="center"/>
              <w:rPr>
                <w:rFonts w:hint="eastAsia" w:hAnsi="宋体" w:cs="宋体"/>
                <w:szCs w:val="21"/>
              </w:rPr>
            </w:pPr>
            <w:r>
              <w:rPr>
                <w:rFonts w:hint="eastAsia" w:hAnsi="宋体" w:cs="宋体"/>
                <w:szCs w:val="21"/>
              </w:rPr>
              <w:t>10分</w:t>
            </w:r>
          </w:p>
          <w:p>
            <w:pPr>
              <w:pStyle w:val="7"/>
              <w:ind w:firstLine="0" w:firstLineChars="0"/>
              <w:jc w:val="center"/>
              <w:rPr>
                <w:rFonts w:hint="eastAsia" w:hAnsi="宋体" w:cs="宋体"/>
                <w:szCs w:val="21"/>
              </w:rPr>
            </w:pPr>
          </w:p>
        </w:tc>
        <w:tc>
          <w:tcPr>
            <w:tcW w:w="2895" w:type="dxa"/>
            <w:noWrap w:val="0"/>
            <w:vAlign w:val="center"/>
          </w:tcPr>
          <w:p>
            <w:pPr>
              <w:rPr>
                <w:rFonts w:hint="eastAsia" w:ascii="宋体" w:hAnsi="宋体" w:cs="宋体"/>
                <w:szCs w:val="21"/>
              </w:rPr>
            </w:pPr>
            <w:r>
              <w:rPr>
                <w:rFonts w:hint="eastAsia" w:ascii="宋体" w:hAnsi="宋体" w:cs="宋体"/>
                <w:szCs w:val="21"/>
              </w:rPr>
              <w:t>每年组织开展的知识产权培训活动参加人数不少于50人次</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开展知识产权培训，年度培训次数大于5次（含）或年度培训总人数大于500人次（含）的，得3分；年度培训次数在1～5次（不含）或年度培训总人数在50-500人次（不含）的，得1～2分；未开展培训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1"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vMerge w:val="continue"/>
            <w:noWrap w:val="0"/>
            <w:vAlign w:val="center"/>
          </w:tcPr>
          <w:p>
            <w:pPr>
              <w:pStyle w:val="7"/>
              <w:ind w:firstLine="0" w:firstLineChars="0"/>
              <w:jc w:val="center"/>
              <w:rPr>
                <w:rFonts w:hint="eastAsia" w:hAnsi="宋体" w:cs="宋体"/>
                <w:szCs w:val="21"/>
              </w:rPr>
            </w:pPr>
          </w:p>
        </w:tc>
        <w:tc>
          <w:tcPr>
            <w:tcW w:w="2895" w:type="dxa"/>
            <w:noWrap w:val="0"/>
            <w:vAlign w:val="center"/>
          </w:tcPr>
          <w:p>
            <w:pPr>
              <w:rPr>
                <w:rFonts w:hint="eastAsia" w:ascii="宋体" w:hAnsi="宋体" w:cs="宋体"/>
                <w:szCs w:val="21"/>
              </w:rPr>
            </w:pPr>
            <w:r>
              <w:rPr>
                <w:rFonts w:hint="eastAsia" w:ascii="宋体" w:hAnsi="宋体" w:cs="宋体"/>
                <w:szCs w:val="21"/>
              </w:rPr>
              <w:t>针对会员和行业企业的不同需求，提供基础、中高端等不同类型知识产权相关培训</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查相关文件资料。查看培训内容是否针对会员和行业企业的不同需求设置，提供基础、中高端等不同类型知识产权相关培训，得0～2分。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8"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vMerge w:val="continue"/>
            <w:noWrap w:val="0"/>
            <w:vAlign w:val="center"/>
          </w:tcPr>
          <w:p>
            <w:pPr>
              <w:pStyle w:val="7"/>
              <w:ind w:firstLine="0" w:firstLineChars="0"/>
              <w:jc w:val="center"/>
              <w:rPr>
                <w:rFonts w:hint="eastAsia" w:hAnsi="宋体" w:cs="宋体"/>
                <w:szCs w:val="21"/>
              </w:rPr>
            </w:pPr>
          </w:p>
        </w:tc>
        <w:tc>
          <w:tcPr>
            <w:tcW w:w="2895" w:type="dxa"/>
            <w:noWrap w:val="0"/>
            <w:vAlign w:val="center"/>
          </w:tcPr>
          <w:p>
            <w:pPr>
              <w:rPr>
                <w:rFonts w:hint="eastAsia" w:ascii="宋体" w:hAnsi="宋体" w:cs="宋体"/>
                <w:szCs w:val="21"/>
              </w:rPr>
            </w:pPr>
            <w:r>
              <w:rPr>
                <w:rFonts w:hint="eastAsia" w:ascii="宋体" w:hAnsi="宋体" w:cs="宋体"/>
                <w:szCs w:val="21"/>
              </w:rPr>
              <w:t>向会员和行业企业宣传知识产权相关法律法规、知识产权营商环境政策、知识产权热点和典型案例等</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查相关文件资料。宣传培训内容包含知识产权相关法律法规、政府知识产权营商环境政策、知识产权热点和典型案例等的，得0～2分。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1"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vMerge w:val="continue"/>
            <w:noWrap w:val="0"/>
            <w:vAlign w:val="center"/>
          </w:tcPr>
          <w:p>
            <w:pPr>
              <w:pStyle w:val="7"/>
              <w:ind w:firstLine="0" w:firstLineChars="0"/>
              <w:jc w:val="center"/>
              <w:rPr>
                <w:rFonts w:hint="eastAsia" w:hAnsi="宋体" w:cs="宋体"/>
                <w:szCs w:val="21"/>
              </w:rPr>
            </w:pPr>
          </w:p>
        </w:tc>
        <w:tc>
          <w:tcPr>
            <w:tcW w:w="2895" w:type="dxa"/>
            <w:noWrap w:val="0"/>
            <w:vAlign w:val="center"/>
          </w:tcPr>
          <w:p>
            <w:pPr>
              <w:pStyle w:val="8"/>
              <w:numPr>
                <w:ilvl w:val="0"/>
                <w:numId w:val="0"/>
              </w:numPr>
              <w:rPr>
                <w:rFonts w:hint="eastAsia" w:hAnsi="宋体" w:cs="宋体"/>
                <w:szCs w:val="21"/>
              </w:rPr>
            </w:pPr>
            <w:r>
              <w:rPr>
                <w:rFonts w:hint="eastAsia" w:hAnsi="宋体" w:cs="宋体"/>
                <w:szCs w:val="21"/>
              </w:rPr>
              <w:t>通过网站、公众号、宣讲会等线上或线下多渠道进行知识产权内容的宣传培训</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查相关文件资料。通过公众号、网站等线上或线下多渠道开展知识产权相关内容知识的培训宣传，得1～2分；未开展宣贯工作的，得0分。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vMerge w:val="continue"/>
            <w:noWrap w:val="0"/>
            <w:vAlign w:val="center"/>
          </w:tcPr>
          <w:p>
            <w:pPr>
              <w:pStyle w:val="7"/>
              <w:ind w:firstLine="0" w:firstLineChars="0"/>
              <w:jc w:val="center"/>
              <w:rPr>
                <w:rFonts w:hint="eastAsia" w:hAnsi="宋体" w:cs="宋体"/>
                <w:szCs w:val="21"/>
              </w:rPr>
            </w:pPr>
          </w:p>
        </w:tc>
        <w:tc>
          <w:tcPr>
            <w:tcW w:w="2895" w:type="dxa"/>
            <w:noWrap w:val="0"/>
            <w:vAlign w:val="center"/>
          </w:tcPr>
          <w:p>
            <w:pPr>
              <w:pStyle w:val="8"/>
              <w:numPr>
                <w:ilvl w:val="0"/>
                <w:numId w:val="0"/>
              </w:numPr>
              <w:rPr>
                <w:rFonts w:hint="eastAsia" w:hAnsi="宋体" w:cs="宋体"/>
                <w:szCs w:val="21"/>
              </w:rPr>
            </w:pPr>
            <w:r>
              <w:rPr>
                <w:rFonts w:hint="eastAsia" w:hAnsi="宋体" w:cs="宋体"/>
                <w:szCs w:val="21"/>
              </w:rPr>
              <w:t>提供反馈渠道，评估宣传培训活动效果，以提升会员和行业企业的知识产权保护意识，营造尊重知识产权的环境和氛围</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查相关文件资料。有提供宣传培训活动反馈渠道的，并进行评估的，得1分；未开展的得0分。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02"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noWrap w:val="0"/>
            <w:vAlign w:val="center"/>
          </w:tcPr>
          <w:p>
            <w:pPr>
              <w:pStyle w:val="7"/>
              <w:ind w:firstLine="0" w:firstLineChars="0"/>
              <w:jc w:val="center"/>
              <w:rPr>
                <w:rFonts w:hint="eastAsia" w:hAnsi="宋体" w:cs="宋体"/>
                <w:szCs w:val="21"/>
              </w:rPr>
            </w:pPr>
            <w:r>
              <w:rPr>
                <w:rFonts w:hint="eastAsia" w:hAnsi="宋体" w:cs="宋体"/>
                <w:szCs w:val="21"/>
              </w:rPr>
              <w:t>业务指导</w:t>
            </w:r>
          </w:p>
          <w:p>
            <w:pPr>
              <w:pStyle w:val="7"/>
              <w:ind w:firstLine="0" w:firstLineChars="0"/>
              <w:jc w:val="center"/>
              <w:rPr>
                <w:rFonts w:hint="eastAsia" w:hAnsi="宋体" w:cs="宋体"/>
                <w:szCs w:val="21"/>
              </w:rPr>
            </w:pPr>
            <w:r>
              <w:rPr>
                <w:rFonts w:hint="eastAsia" w:hAnsi="宋体" w:cs="宋体"/>
                <w:szCs w:val="21"/>
              </w:rPr>
              <w:t>10分</w:t>
            </w:r>
          </w:p>
        </w:tc>
        <w:tc>
          <w:tcPr>
            <w:tcW w:w="2895" w:type="dxa"/>
            <w:noWrap w:val="0"/>
            <w:vAlign w:val="center"/>
          </w:tcPr>
          <w:p>
            <w:pPr>
              <w:rPr>
                <w:rFonts w:hint="eastAsia" w:ascii="宋体" w:hAnsi="宋体" w:cs="宋体"/>
                <w:szCs w:val="21"/>
              </w:rPr>
            </w:pPr>
            <w:r>
              <w:rPr>
                <w:rFonts w:hint="eastAsia" w:ascii="宋体" w:hAnsi="宋体" w:cs="宋体"/>
                <w:szCs w:val="21"/>
              </w:rPr>
              <w:t>为会员和行业企业提供检索、法律、管理咨询</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查相关文件资料。为会员和行业企业提供为会员和行业企业提供检索、法律、管理咨询等，次数在20次及以上的，得10分；提供业务指导次数在2～19次的，得2～9分；提供业务指导次数不足2次的，得0分。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1"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vMerge w:val="restart"/>
            <w:noWrap w:val="0"/>
            <w:vAlign w:val="center"/>
          </w:tcPr>
          <w:p>
            <w:pPr>
              <w:pStyle w:val="7"/>
              <w:ind w:firstLine="0" w:firstLineChars="0"/>
              <w:jc w:val="center"/>
              <w:rPr>
                <w:rFonts w:hint="eastAsia" w:hAnsi="宋体" w:cs="宋体"/>
                <w:szCs w:val="21"/>
              </w:rPr>
            </w:pPr>
            <w:r>
              <w:rPr>
                <w:rFonts w:hint="eastAsia" w:hAnsi="宋体" w:cs="宋体"/>
                <w:szCs w:val="21"/>
              </w:rPr>
              <w:t>维权援助</w:t>
            </w:r>
          </w:p>
          <w:p>
            <w:pPr>
              <w:pStyle w:val="7"/>
              <w:ind w:firstLine="0" w:firstLineChars="0"/>
              <w:jc w:val="center"/>
              <w:rPr>
                <w:rFonts w:hint="eastAsia" w:hAnsi="宋体" w:cs="宋体"/>
                <w:szCs w:val="21"/>
              </w:rPr>
            </w:pPr>
            <w:r>
              <w:rPr>
                <w:rFonts w:hint="eastAsia" w:hAnsi="宋体" w:cs="宋体"/>
                <w:szCs w:val="21"/>
              </w:rPr>
              <w:t>10分</w:t>
            </w:r>
          </w:p>
          <w:p>
            <w:pPr>
              <w:rPr>
                <w:rFonts w:hint="eastAsia" w:ascii="宋体" w:hAnsi="宋体" w:cs="宋体"/>
                <w:szCs w:val="21"/>
              </w:rPr>
            </w:pPr>
          </w:p>
          <w:p>
            <w:pPr>
              <w:pStyle w:val="7"/>
              <w:ind w:firstLine="0" w:firstLineChars="0"/>
              <w:jc w:val="center"/>
              <w:rPr>
                <w:rFonts w:hint="eastAsia" w:hAnsi="宋体" w:cs="宋体"/>
                <w:szCs w:val="21"/>
              </w:rPr>
            </w:pPr>
          </w:p>
        </w:tc>
        <w:tc>
          <w:tcPr>
            <w:tcW w:w="2895" w:type="dxa"/>
            <w:noWrap w:val="0"/>
            <w:vAlign w:val="center"/>
          </w:tcPr>
          <w:p>
            <w:pPr>
              <w:rPr>
                <w:rFonts w:hint="eastAsia" w:ascii="宋体" w:hAnsi="宋体" w:cs="宋体"/>
                <w:szCs w:val="21"/>
              </w:rPr>
            </w:pPr>
            <w:r>
              <w:rPr>
                <w:rFonts w:hint="eastAsia" w:ascii="宋体" w:hAnsi="宋体" w:cs="宋体"/>
                <w:szCs w:val="21"/>
              </w:rPr>
              <w:t>建立信息畅通的维权渠道</w:t>
            </w:r>
          </w:p>
        </w:tc>
        <w:tc>
          <w:tcPr>
            <w:tcW w:w="5265" w:type="dxa"/>
            <w:noWrap w:val="0"/>
            <w:vAlign w:val="center"/>
          </w:tcPr>
          <w:p>
            <w:pPr>
              <w:rPr>
                <w:rFonts w:hint="eastAsia" w:ascii="宋体" w:hAnsi="宋体" w:cs="宋体"/>
                <w:spacing w:val="-4"/>
                <w:szCs w:val="21"/>
              </w:rPr>
            </w:pPr>
            <w:r>
              <w:rPr>
                <w:rFonts w:hint="eastAsia" w:ascii="宋体" w:hAnsi="宋体" w:cs="宋体"/>
                <w:spacing w:val="-4"/>
                <w:szCs w:val="21"/>
              </w:rPr>
              <w:t>查相关文件资料。与政府、联盟、专业机构等建立信息畅通的维权渠道的，得1分；未建立维权渠道的，得0分。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7" w:hRule="atLeast"/>
          <w:jc w:val="center"/>
        </w:trPr>
        <w:tc>
          <w:tcPr>
            <w:tcW w:w="1065" w:type="dxa"/>
            <w:vMerge w:val="continue"/>
            <w:noWrap w:val="0"/>
            <w:vAlign w:val="top"/>
          </w:tcPr>
          <w:p>
            <w:pPr>
              <w:pStyle w:val="7"/>
              <w:ind w:firstLine="0" w:firstLineChars="0"/>
              <w:jc w:val="left"/>
              <w:rPr>
                <w:rFonts w:hint="eastAsia" w:hAnsi="宋体" w:cs="宋体"/>
                <w:szCs w:val="21"/>
              </w:rPr>
            </w:pPr>
          </w:p>
        </w:tc>
        <w:tc>
          <w:tcPr>
            <w:tcW w:w="1230" w:type="dxa"/>
            <w:vMerge w:val="continue"/>
            <w:noWrap w:val="0"/>
            <w:vAlign w:val="top"/>
          </w:tcPr>
          <w:p>
            <w:pPr>
              <w:pStyle w:val="7"/>
              <w:ind w:firstLine="0" w:firstLineChars="0"/>
              <w:jc w:val="left"/>
              <w:rPr>
                <w:rFonts w:hint="eastAsia" w:hAnsi="宋体" w:cs="宋体"/>
                <w:szCs w:val="21"/>
              </w:rPr>
            </w:pPr>
          </w:p>
        </w:tc>
        <w:tc>
          <w:tcPr>
            <w:tcW w:w="2895" w:type="dxa"/>
            <w:noWrap w:val="0"/>
            <w:vAlign w:val="top"/>
          </w:tcPr>
          <w:p>
            <w:pPr>
              <w:jc w:val="left"/>
              <w:rPr>
                <w:rFonts w:hint="eastAsia" w:ascii="宋体" w:hAnsi="宋体" w:cs="宋体"/>
                <w:szCs w:val="21"/>
              </w:rPr>
            </w:pPr>
            <w:r>
              <w:rPr>
                <w:rFonts w:hint="eastAsia" w:ascii="宋体" w:hAnsi="宋体" w:cs="宋体"/>
                <w:szCs w:val="21"/>
              </w:rPr>
              <w:t>提供维权律所、律师信息等资源</w:t>
            </w:r>
          </w:p>
        </w:tc>
        <w:tc>
          <w:tcPr>
            <w:tcW w:w="5265" w:type="dxa"/>
            <w:noWrap w:val="0"/>
            <w:vAlign w:val="center"/>
          </w:tcPr>
          <w:p>
            <w:pPr>
              <w:rPr>
                <w:rFonts w:hint="eastAsia" w:ascii="宋体" w:hAnsi="宋体" w:cs="宋体"/>
                <w:szCs w:val="21"/>
              </w:rPr>
            </w:pPr>
            <w:r>
              <w:rPr>
                <w:rFonts w:hint="eastAsia" w:ascii="宋体" w:hAnsi="宋体" w:cs="宋体"/>
                <w:szCs w:val="21"/>
              </w:rPr>
              <w:t xml:space="preserve">查相关文件资料。向会员和行业企业提供律所、律师信息等资源的，得1分；未提供的，得0分。 </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1" w:hRule="atLeast"/>
          <w:jc w:val="center"/>
        </w:trPr>
        <w:tc>
          <w:tcPr>
            <w:tcW w:w="1065" w:type="dxa"/>
            <w:vMerge w:val="continue"/>
            <w:noWrap w:val="0"/>
            <w:vAlign w:val="top"/>
          </w:tcPr>
          <w:p>
            <w:pPr>
              <w:pStyle w:val="7"/>
              <w:ind w:firstLine="0" w:firstLineChars="0"/>
              <w:jc w:val="left"/>
              <w:rPr>
                <w:rFonts w:hint="eastAsia" w:hAnsi="宋体" w:cs="宋体"/>
                <w:szCs w:val="21"/>
              </w:rPr>
            </w:pPr>
          </w:p>
        </w:tc>
        <w:tc>
          <w:tcPr>
            <w:tcW w:w="1230" w:type="dxa"/>
            <w:vMerge w:val="continue"/>
            <w:noWrap w:val="0"/>
            <w:vAlign w:val="top"/>
          </w:tcPr>
          <w:p>
            <w:pPr>
              <w:pStyle w:val="7"/>
              <w:ind w:firstLine="0" w:firstLineChars="0"/>
              <w:jc w:val="left"/>
              <w:rPr>
                <w:rFonts w:hint="eastAsia" w:hAnsi="宋体" w:cs="宋体"/>
                <w:szCs w:val="21"/>
              </w:rPr>
            </w:pPr>
          </w:p>
        </w:tc>
        <w:tc>
          <w:tcPr>
            <w:tcW w:w="2895" w:type="dxa"/>
            <w:noWrap w:val="0"/>
            <w:vAlign w:val="top"/>
          </w:tcPr>
          <w:p>
            <w:pPr>
              <w:jc w:val="left"/>
              <w:rPr>
                <w:rFonts w:hint="eastAsia" w:ascii="宋体" w:hAnsi="宋体" w:cs="宋体"/>
                <w:szCs w:val="21"/>
              </w:rPr>
            </w:pPr>
            <w:r>
              <w:rPr>
                <w:rFonts w:hint="eastAsia" w:ascii="宋体" w:hAnsi="宋体" w:cs="宋体"/>
                <w:szCs w:val="21"/>
              </w:rPr>
              <w:t>建立快速、联合维权的工作机制</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查相关文件资料。有建立快速、联合维权的工作机制的，得1分；未建立的，得0分。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11" w:hRule="atLeast"/>
          <w:jc w:val="center"/>
        </w:trPr>
        <w:tc>
          <w:tcPr>
            <w:tcW w:w="1065" w:type="dxa"/>
            <w:vMerge w:val="continue"/>
            <w:noWrap w:val="0"/>
            <w:vAlign w:val="top"/>
          </w:tcPr>
          <w:p>
            <w:pPr>
              <w:pStyle w:val="7"/>
              <w:ind w:firstLine="0" w:firstLineChars="0"/>
              <w:jc w:val="left"/>
              <w:rPr>
                <w:rFonts w:hint="eastAsia" w:hAnsi="宋体" w:cs="宋体"/>
                <w:szCs w:val="21"/>
              </w:rPr>
            </w:pPr>
          </w:p>
        </w:tc>
        <w:tc>
          <w:tcPr>
            <w:tcW w:w="1230" w:type="dxa"/>
            <w:vMerge w:val="continue"/>
            <w:noWrap w:val="0"/>
            <w:vAlign w:val="top"/>
          </w:tcPr>
          <w:p>
            <w:pPr>
              <w:pStyle w:val="7"/>
              <w:ind w:firstLine="0" w:firstLineChars="0"/>
              <w:jc w:val="left"/>
              <w:rPr>
                <w:rFonts w:hint="eastAsia" w:hAnsi="宋体" w:cs="宋体"/>
                <w:szCs w:val="21"/>
              </w:rPr>
            </w:pPr>
          </w:p>
        </w:tc>
        <w:tc>
          <w:tcPr>
            <w:tcW w:w="2895" w:type="dxa"/>
            <w:noWrap w:val="0"/>
            <w:vAlign w:val="top"/>
          </w:tcPr>
          <w:p>
            <w:pPr>
              <w:jc w:val="left"/>
              <w:rPr>
                <w:rFonts w:hint="eastAsia" w:ascii="宋体" w:hAnsi="宋体" w:cs="宋体"/>
                <w:szCs w:val="21"/>
              </w:rPr>
            </w:pPr>
            <w:r>
              <w:rPr>
                <w:rFonts w:hint="eastAsia" w:ascii="宋体" w:hAnsi="宋体" w:cs="宋体"/>
                <w:szCs w:val="21"/>
              </w:rPr>
              <w:t>提升会员和行业企业的知识产权研判、维权和议价能力；引导或组织会员和行业企业联合应对行业知识产权纠纷</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有提升会员和行业企业知识产权研判、维权和议价能力，引导或组织会员和行业企业联合应对行业知识产权纠纷并维权成功的或及时发现并主动组织维权的，得4分；正在组织会员和行业企业开展维权工作联合应对行业的知识产权纠纷尚未完成的，得3分；未发生行业知识产权纠纷的，得2分；有发生行业知识产权纠纷，未组织应对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6" w:hRule="atLeast"/>
          <w:jc w:val="center"/>
        </w:trPr>
        <w:tc>
          <w:tcPr>
            <w:tcW w:w="1065" w:type="dxa"/>
            <w:vMerge w:val="continue"/>
            <w:noWrap w:val="0"/>
            <w:vAlign w:val="top"/>
          </w:tcPr>
          <w:p>
            <w:pPr>
              <w:pStyle w:val="7"/>
              <w:ind w:firstLine="0" w:firstLineChars="0"/>
              <w:jc w:val="left"/>
              <w:rPr>
                <w:rFonts w:hint="eastAsia" w:hAnsi="宋体" w:cs="宋体"/>
                <w:szCs w:val="21"/>
              </w:rPr>
            </w:pPr>
          </w:p>
        </w:tc>
        <w:tc>
          <w:tcPr>
            <w:tcW w:w="1230" w:type="dxa"/>
            <w:vMerge w:val="continue"/>
            <w:noWrap w:val="0"/>
            <w:vAlign w:val="top"/>
          </w:tcPr>
          <w:p>
            <w:pPr>
              <w:pStyle w:val="7"/>
              <w:ind w:firstLine="0" w:firstLineChars="0"/>
              <w:jc w:val="left"/>
              <w:rPr>
                <w:rFonts w:hint="eastAsia" w:hAnsi="宋体" w:cs="宋体"/>
                <w:szCs w:val="21"/>
              </w:rPr>
            </w:pPr>
          </w:p>
        </w:tc>
        <w:tc>
          <w:tcPr>
            <w:tcW w:w="2895" w:type="dxa"/>
            <w:noWrap w:val="0"/>
            <w:vAlign w:val="top"/>
          </w:tcPr>
          <w:p>
            <w:pPr>
              <w:pStyle w:val="8"/>
              <w:numPr>
                <w:ilvl w:val="0"/>
                <w:numId w:val="0"/>
              </w:numPr>
              <w:jc w:val="left"/>
              <w:rPr>
                <w:rFonts w:hint="eastAsia" w:hAnsi="宋体" w:cs="宋体"/>
                <w:szCs w:val="21"/>
              </w:rPr>
            </w:pPr>
            <w:r>
              <w:rPr>
                <w:rFonts w:hint="eastAsia" w:hAnsi="宋体" w:cs="宋体"/>
                <w:szCs w:val="21"/>
              </w:rPr>
              <w:t>提供其他维权援助服务</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查相关文件资料。向会员和行业企业提供其他维权援助服务，次数在3次及以上，得3分；次数在1～2次，得1～2分；未提供的，得0分。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8" w:hRule="atLeast"/>
          <w:jc w:val="center"/>
        </w:trPr>
        <w:tc>
          <w:tcPr>
            <w:tcW w:w="1065" w:type="dxa"/>
            <w:vMerge w:val="continue"/>
            <w:noWrap w:val="0"/>
            <w:vAlign w:val="top"/>
          </w:tcPr>
          <w:p>
            <w:pPr>
              <w:pStyle w:val="7"/>
              <w:ind w:firstLine="0" w:firstLineChars="0"/>
              <w:jc w:val="left"/>
              <w:rPr>
                <w:rFonts w:hint="eastAsia" w:hAnsi="宋体" w:cs="宋体"/>
                <w:szCs w:val="21"/>
              </w:rPr>
            </w:pPr>
          </w:p>
        </w:tc>
        <w:tc>
          <w:tcPr>
            <w:tcW w:w="1230" w:type="dxa"/>
            <w:vMerge w:val="restart"/>
            <w:noWrap w:val="0"/>
            <w:vAlign w:val="top"/>
          </w:tcPr>
          <w:p>
            <w:pPr>
              <w:jc w:val="center"/>
              <w:rPr>
                <w:rFonts w:hint="eastAsia" w:ascii="宋体" w:hAnsi="宋体" w:cs="宋体"/>
                <w:szCs w:val="21"/>
              </w:rPr>
            </w:pPr>
            <w:r>
              <w:rPr>
                <w:rFonts w:hint="eastAsia" w:ascii="宋体" w:hAnsi="宋体" w:cs="宋体"/>
                <w:szCs w:val="21"/>
              </w:rPr>
              <w:t>纠纷调解</w:t>
            </w:r>
          </w:p>
          <w:p>
            <w:pPr>
              <w:pStyle w:val="7"/>
              <w:ind w:firstLine="0" w:firstLineChars="0"/>
              <w:jc w:val="center"/>
              <w:rPr>
                <w:rFonts w:hint="eastAsia" w:hAnsi="宋体" w:cs="宋体"/>
                <w:szCs w:val="21"/>
              </w:rPr>
            </w:pPr>
            <w:r>
              <w:rPr>
                <w:rFonts w:hint="eastAsia" w:hAnsi="宋体" w:cs="宋体"/>
                <w:szCs w:val="21"/>
              </w:rPr>
              <w:t>8分</w:t>
            </w:r>
          </w:p>
        </w:tc>
        <w:tc>
          <w:tcPr>
            <w:tcW w:w="2895" w:type="dxa"/>
            <w:noWrap w:val="0"/>
            <w:vAlign w:val="top"/>
          </w:tcPr>
          <w:p>
            <w:pPr>
              <w:jc w:val="left"/>
              <w:rPr>
                <w:rFonts w:hint="eastAsia" w:ascii="宋体" w:hAnsi="宋体" w:cs="宋体"/>
                <w:szCs w:val="21"/>
              </w:rPr>
            </w:pPr>
            <w:r>
              <w:rPr>
                <w:rFonts w:hint="eastAsia" w:ascii="宋体" w:hAnsi="宋体" w:cs="宋体"/>
                <w:szCs w:val="21"/>
              </w:rPr>
              <w:t>成立或加入纠纷调解组织</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查相关文件资料。有成立或加入纠纷调解组织的，得1分；未成立且未加入调解组织的，得0分。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7" w:hRule="atLeast"/>
          <w:jc w:val="center"/>
        </w:trPr>
        <w:tc>
          <w:tcPr>
            <w:tcW w:w="1065" w:type="dxa"/>
            <w:vMerge w:val="continue"/>
            <w:noWrap w:val="0"/>
            <w:vAlign w:val="top"/>
          </w:tcPr>
          <w:p>
            <w:pPr>
              <w:pStyle w:val="7"/>
              <w:ind w:firstLine="0" w:firstLineChars="0"/>
              <w:jc w:val="left"/>
              <w:rPr>
                <w:rFonts w:hint="eastAsia" w:hAnsi="宋体" w:cs="宋体"/>
                <w:szCs w:val="21"/>
              </w:rPr>
            </w:pPr>
          </w:p>
        </w:tc>
        <w:tc>
          <w:tcPr>
            <w:tcW w:w="1230" w:type="dxa"/>
            <w:vMerge w:val="continue"/>
            <w:noWrap w:val="0"/>
            <w:vAlign w:val="top"/>
          </w:tcPr>
          <w:p>
            <w:pPr>
              <w:pStyle w:val="7"/>
              <w:ind w:firstLine="0" w:firstLineChars="0"/>
              <w:jc w:val="left"/>
              <w:rPr>
                <w:rFonts w:hint="eastAsia" w:hAnsi="宋体" w:cs="宋体"/>
                <w:szCs w:val="21"/>
              </w:rPr>
            </w:pPr>
          </w:p>
        </w:tc>
        <w:tc>
          <w:tcPr>
            <w:tcW w:w="2895" w:type="dxa"/>
            <w:noWrap w:val="0"/>
            <w:vAlign w:val="top"/>
          </w:tcPr>
          <w:p>
            <w:pPr>
              <w:jc w:val="left"/>
              <w:rPr>
                <w:rFonts w:hint="eastAsia" w:ascii="宋体" w:hAnsi="宋体" w:cs="宋体"/>
                <w:szCs w:val="21"/>
              </w:rPr>
            </w:pPr>
            <w:r>
              <w:rPr>
                <w:rFonts w:hint="eastAsia" w:ascii="宋体" w:hAnsi="宋体" w:cs="宋体"/>
                <w:szCs w:val="21"/>
              </w:rPr>
              <w:t>配备知识产权调解人员，并兼任深圳市知识产权保护工作站联盟知识产权调解员</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查相关文件资料。有组织调解员兼任深圳市知识产权保护工作站联盟知识产权调解员的，得2分；有配备调解员未兼任深圳市知识产权保护工作站联盟知识产权调解员，得1分；未配备调解员的，得0分。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0"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vMerge w:val="continue"/>
            <w:noWrap w:val="0"/>
            <w:vAlign w:val="center"/>
          </w:tcPr>
          <w:p>
            <w:pPr>
              <w:pStyle w:val="7"/>
              <w:ind w:firstLine="0" w:firstLineChars="0"/>
              <w:jc w:val="center"/>
              <w:rPr>
                <w:rFonts w:hint="eastAsia" w:hAnsi="宋体" w:cs="宋体"/>
                <w:szCs w:val="21"/>
              </w:rPr>
            </w:pPr>
          </w:p>
        </w:tc>
        <w:tc>
          <w:tcPr>
            <w:tcW w:w="2895" w:type="dxa"/>
            <w:noWrap w:val="0"/>
            <w:vAlign w:val="center"/>
          </w:tcPr>
          <w:p>
            <w:pPr>
              <w:rPr>
                <w:rFonts w:hint="eastAsia" w:ascii="宋体" w:hAnsi="宋体" w:cs="宋体"/>
                <w:szCs w:val="21"/>
              </w:rPr>
            </w:pPr>
            <w:r>
              <w:rPr>
                <w:rFonts w:hint="eastAsia" w:ascii="宋体" w:hAnsi="宋体" w:cs="宋体"/>
                <w:szCs w:val="21"/>
              </w:rPr>
              <w:t>参与分配或委派的知识产权纠纷案件调解；参与会员和行业企业的知识产权纠纷调解</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参与行政机关、司法机关委派，或深圳市知识产权保护工作站联盟统筹分配的知识产权纠纷案件调解，或参与会员和行业企业出现的知识产权纠纷调解，参与调解案件数量在3件及以上的，得2分；参与调解案件数量在1～2件的，得1分；未有分配或委派调解工作的，得1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7"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vMerge w:val="continue"/>
            <w:noWrap w:val="0"/>
            <w:vAlign w:val="center"/>
          </w:tcPr>
          <w:p>
            <w:pPr>
              <w:pStyle w:val="7"/>
              <w:ind w:firstLine="0" w:firstLineChars="0"/>
              <w:jc w:val="center"/>
              <w:rPr>
                <w:rFonts w:hint="eastAsia" w:hAnsi="宋体" w:cs="宋体"/>
                <w:szCs w:val="21"/>
              </w:rPr>
            </w:pPr>
          </w:p>
        </w:tc>
        <w:tc>
          <w:tcPr>
            <w:tcW w:w="2895" w:type="dxa"/>
            <w:noWrap w:val="0"/>
            <w:vAlign w:val="center"/>
          </w:tcPr>
          <w:p>
            <w:pPr>
              <w:rPr>
                <w:rFonts w:hint="eastAsia" w:ascii="宋体" w:hAnsi="宋体" w:cs="宋体"/>
                <w:szCs w:val="21"/>
              </w:rPr>
            </w:pPr>
            <w:r>
              <w:rPr>
                <w:rFonts w:hint="eastAsia" w:ascii="宋体" w:hAnsi="宋体" w:cs="宋体"/>
                <w:szCs w:val="21"/>
              </w:rPr>
              <w:t>组织参展等活动前审查其知识产权合规性承诺；在活动现场入驻工作人员开展纠纷调解工作</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组织会员和行业企业参展等活动前有审查其知识产权合规性承诺，入驻工作人员服务和引导开展纠纷调解的，得2分；仅审查其知识产权合规承诺或仅入驻工作人员开展纠纷调解工作的，得1分；未审查知识产权合规承诺且未入驻工作人员开展知识产权调解工作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1"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vMerge w:val="continue"/>
            <w:noWrap w:val="0"/>
            <w:vAlign w:val="center"/>
          </w:tcPr>
          <w:p>
            <w:pPr>
              <w:pStyle w:val="7"/>
              <w:ind w:firstLine="0" w:firstLineChars="0"/>
              <w:jc w:val="center"/>
              <w:rPr>
                <w:rFonts w:hint="eastAsia" w:hAnsi="宋体" w:cs="宋体"/>
                <w:szCs w:val="21"/>
              </w:rPr>
            </w:pPr>
          </w:p>
        </w:tc>
        <w:tc>
          <w:tcPr>
            <w:tcW w:w="2895" w:type="dxa"/>
            <w:noWrap w:val="0"/>
            <w:vAlign w:val="center"/>
          </w:tcPr>
          <w:p>
            <w:pPr>
              <w:rPr>
                <w:rFonts w:hint="eastAsia" w:ascii="宋体" w:hAnsi="宋体" w:cs="宋体"/>
                <w:szCs w:val="21"/>
              </w:rPr>
            </w:pPr>
            <w:r>
              <w:rPr>
                <w:rFonts w:hint="eastAsia" w:ascii="宋体" w:hAnsi="宋体" w:cs="宋体"/>
                <w:szCs w:val="21"/>
              </w:rPr>
              <w:t>调解成功的案件，督促当事人遵守调解约定，调解的经验在会员和行业企业中进行推广运用</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查相关文件资料。调解成功的案件，督促当事人遵守调解约定，调解的经验在会员和行业企业中进行推广运用的，得1分；未督促当事人遵守调解约定的，得0分。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8"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noWrap w:val="0"/>
            <w:vAlign w:val="center"/>
          </w:tcPr>
          <w:p>
            <w:pPr>
              <w:jc w:val="center"/>
              <w:rPr>
                <w:rFonts w:hint="eastAsia" w:ascii="宋体" w:hAnsi="宋体" w:cs="宋体"/>
                <w:szCs w:val="21"/>
              </w:rPr>
            </w:pPr>
            <w:r>
              <w:rPr>
                <w:rFonts w:hint="eastAsia" w:ascii="宋体" w:hAnsi="宋体" w:cs="宋体"/>
                <w:szCs w:val="21"/>
              </w:rPr>
              <w:t>孵化运营</w:t>
            </w:r>
          </w:p>
          <w:p>
            <w:pPr>
              <w:jc w:val="center"/>
              <w:rPr>
                <w:rFonts w:hint="eastAsia" w:ascii="宋体" w:hAnsi="宋体" w:cs="宋体"/>
                <w:szCs w:val="21"/>
              </w:rPr>
            </w:pPr>
            <w:r>
              <w:rPr>
                <w:rFonts w:hint="eastAsia" w:ascii="宋体" w:hAnsi="宋体" w:cs="宋体"/>
                <w:szCs w:val="21"/>
              </w:rPr>
              <w:t>2分</w:t>
            </w:r>
          </w:p>
        </w:tc>
        <w:tc>
          <w:tcPr>
            <w:tcW w:w="2895" w:type="dxa"/>
            <w:noWrap w:val="0"/>
            <w:vAlign w:val="center"/>
          </w:tcPr>
          <w:p>
            <w:pPr>
              <w:rPr>
                <w:rFonts w:hint="eastAsia" w:ascii="宋体" w:hAnsi="宋体" w:cs="宋体"/>
                <w:szCs w:val="21"/>
              </w:rPr>
            </w:pPr>
            <w:r>
              <w:rPr>
                <w:rFonts w:hint="eastAsia" w:ascii="宋体" w:hAnsi="宋体" w:cs="宋体"/>
                <w:szCs w:val="21"/>
              </w:rPr>
              <w:t>引导会员和行业企业开展知识产权申请等工作，优化其知识产权布局，培育和孵化高价值专利</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查相关文件资料。引导会员和行业企业开展知识产权申请等工作，优化其知识产权布局，培育和孵化高价值专利，得1～2分；未提供服务的，得0分。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7"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vMerge w:val="restart"/>
            <w:noWrap w:val="0"/>
            <w:vAlign w:val="center"/>
          </w:tcPr>
          <w:p>
            <w:pPr>
              <w:jc w:val="center"/>
              <w:rPr>
                <w:rFonts w:hint="eastAsia" w:ascii="宋体" w:hAnsi="宋体" w:cs="宋体"/>
                <w:szCs w:val="21"/>
              </w:rPr>
            </w:pPr>
            <w:r>
              <w:rPr>
                <w:rFonts w:hint="eastAsia" w:ascii="宋体" w:hAnsi="宋体" w:cs="宋体"/>
                <w:szCs w:val="21"/>
              </w:rPr>
              <w:t>监测分析</w:t>
            </w:r>
          </w:p>
          <w:p>
            <w:pPr>
              <w:jc w:val="center"/>
              <w:rPr>
                <w:rFonts w:hint="eastAsia" w:ascii="宋体" w:hAnsi="宋体" w:cs="宋体"/>
                <w:szCs w:val="21"/>
              </w:rPr>
            </w:pPr>
            <w:r>
              <w:rPr>
                <w:rFonts w:hint="eastAsia" w:ascii="宋体" w:hAnsi="宋体" w:cs="宋体"/>
                <w:szCs w:val="21"/>
              </w:rPr>
              <w:t>10分</w:t>
            </w:r>
          </w:p>
        </w:tc>
        <w:tc>
          <w:tcPr>
            <w:tcW w:w="2895" w:type="dxa"/>
            <w:noWrap w:val="0"/>
            <w:vAlign w:val="center"/>
          </w:tcPr>
          <w:p>
            <w:pPr>
              <w:rPr>
                <w:rFonts w:hint="eastAsia" w:ascii="宋体" w:hAnsi="宋体" w:cs="宋体"/>
                <w:szCs w:val="21"/>
              </w:rPr>
            </w:pPr>
            <w:r>
              <w:rPr>
                <w:rFonts w:hint="eastAsia" w:ascii="宋体" w:hAnsi="宋体" w:cs="宋体"/>
                <w:szCs w:val="21"/>
              </w:rPr>
              <w:t>开展知识产权学术研究活动，对行业知识产权重点、热点问题开展研究，提供行业意见</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查相关文件资料。开展知识产权学术研究活动，对行业知识产权重点、热点问题开展研究，提供行业意见，得1～2分；未开展的，得0分。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7"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vMerge w:val="continue"/>
            <w:noWrap w:val="0"/>
            <w:vAlign w:val="center"/>
          </w:tcPr>
          <w:p>
            <w:pPr>
              <w:jc w:val="center"/>
              <w:rPr>
                <w:rFonts w:hint="eastAsia" w:ascii="宋体" w:hAnsi="宋体" w:cs="宋体"/>
                <w:szCs w:val="21"/>
              </w:rPr>
            </w:pPr>
          </w:p>
        </w:tc>
        <w:tc>
          <w:tcPr>
            <w:tcW w:w="2895" w:type="dxa"/>
            <w:noWrap w:val="0"/>
            <w:vAlign w:val="center"/>
          </w:tcPr>
          <w:p>
            <w:pPr>
              <w:rPr>
                <w:rFonts w:hint="eastAsia" w:ascii="宋体" w:hAnsi="宋体" w:cs="宋体"/>
                <w:szCs w:val="21"/>
              </w:rPr>
            </w:pPr>
            <w:r>
              <w:rPr>
                <w:rFonts w:hint="eastAsia" w:ascii="宋体" w:hAnsi="宋体" w:cs="宋体"/>
                <w:szCs w:val="21"/>
              </w:rPr>
              <w:t>为政府决策提供服务，积极为政府制定知识产权政策献言献策，为政策实施推广提供支撑</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查相关文件资料。为政府决策提供服务，积极为政府制定知识产权政策献言献策，并为政策实施推广提供支撑，得1分；未提供，得0分。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92" w:hRule="atLeast"/>
          <w:jc w:val="center"/>
        </w:trPr>
        <w:tc>
          <w:tcPr>
            <w:tcW w:w="1065" w:type="dxa"/>
            <w:vMerge w:val="continue"/>
            <w:noWrap w:val="0"/>
            <w:vAlign w:val="center"/>
          </w:tcPr>
          <w:p>
            <w:pPr>
              <w:pStyle w:val="7"/>
              <w:ind w:firstLine="0" w:firstLineChars="0"/>
              <w:jc w:val="center"/>
              <w:rPr>
                <w:rFonts w:hint="eastAsia" w:hAnsi="宋体" w:cs="宋体"/>
                <w:szCs w:val="21"/>
              </w:rPr>
            </w:pPr>
          </w:p>
        </w:tc>
        <w:tc>
          <w:tcPr>
            <w:tcW w:w="1230" w:type="dxa"/>
            <w:vMerge w:val="continue"/>
            <w:noWrap w:val="0"/>
            <w:vAlign w:val="center"/>
          </w:tcPr>
          <w:p>
            <w:pPr>
              <w:jc w:val="center"/>
              <w:rPr>
                <w:rFonts w:hint="eastAsia" w:ascii="宋体" w:hAnsi="宋体" w:cs="宋体"/>
                <w:szCs w:val="21"/>
              </w:rPr>
            </w:pPr>
          </w:p>
        </w:tc>
        <w:tc>
          <w:tcPr>
            <w:tcW w:w="2895" w:type="dxa"/>
            <w:noWrap w:val="0"/>
            <w:vAlign w:val="center"/>
          </w:tcPr>
          <w:p>
            <w:pPr>
              <w:rPr>
                <w:rFonts w:hint="eastAsia" w:ascii="宋体" w:hAnsi="宋体" w:cs="宋体"/>
                <w:szCs w:val="21"/>
              </w:rPr>
            </w:pPr>
            <w:r>
              <w:rPr>
                <w:rFonts w:hint="eastAsia" w:ascii="宋体" w:hAnsi="宋体" w:cs="宋体"/>
                <w:szCs w:val="21"/>
              </w:rPr>
              <w:t>开展行业知识产权状况跟踪调研，及时了解行业动态变化和海内外知识产权风险，形成产业知识产权状况分析报告、海内外知识产权风险分析报告，并将了解到的信息报送给深圳市知识产权保护工作站联盟，传达给会员和行业企业</w:t>
            </w:r>
          </w:p>
        </w:tc>
        <w:tc>
          <w:tcPr>
            <w:tcW w:w="5265" w:type="dxa"/>
            <w:noWrap w:val="0"/>
            <w:vAlign w:val="center"/>
          </w:tcPr>
          <w:p>
            <w:pPr>
              <w:rPr>
                <w:rFonts w:hint="eastAsia" w:ascii="宋体" w:hAnsi="宋体" w:cs="宋体"/>
                <w:szCs w:val="21"/>
              </w:rPr>
            </w:pPr>
            <w:r>
              <w:rPr>
                <w:rFonts w:hint="eastAsia" w:ascii="宋体" w:hAnsi="宋体" w:cs="宋体"/>
                <w:szCs w:val="21"/>
              </w:rPr>
              <w:t>查相关文件资料。开展行业知识产权状态跟踪调研，及时了解行业动态变化和海内外知识产权风险，形成产业知识产权状况分析报告、海内外知识产权风险分析报告，并将了解到的信息和报告及时传达给深圳市知识产权保护工作站联盟，传达给会员和行业企业的，得1～7分；未开展，得0分。</w:t>
            </w:r>
          </w:p>
        </w:tc>
        <w:tc>
          <w:tcPr>
            <w:tcW w:w="1090" w:type="dxa"/>
            <w:noWrap w:val="0"/>
            <w:vAlign w:val="center"/>
          </w:tcPr>
          <w:p>
            <w:pPr>
              <w:pStyle w:val="7"/>
              <w:ind w:firstLine="0" w:firstLineChars="0"/>
              <w:jc w:val="center"/>
              <w:rPr>
                <w:rFonts w:hint="eastAsia" w:hAnsi="宋体" w:cs="宋体"/>
                <w:szCs w:val="21"/>
              </w:rPr>
            </w:pPr>
          </w:p>
        </w:tc>
        <w:tc>
          <w:tcPr>
            <w:tcW w:w="2246" w:type="dxa"/>
            <w:noWrap w:val="0"/>
            <w:vAlign w:val="center"/>
          </w:tcPr>
          <w:p>
            <w:pPr>
              <w:pStyle w:val="7"/>
              <w:ind w:firstLine="0" w:firstLineChars="0"/>
              <w:jc w:val="center"/>
              <w:rPr>
                <w:rFonts w:hint="eastAsia" w:hAnsi="宋体" w:cs="宋体"/>
                <w:szCs w:val="21"/>
              </w:rPr>
            </w:pPr>
          </w:p>
        </w:tc>
        <w:tc>
          <w:tcPr>
            <w:tcW w:w="886" w:type="dxa"/>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9" w:hRule="atLeast"/>
          <w:jc w:val="center"/>
        </w:trPr>
        <w:tc>
          <w:tcPr>
            <w:tcW w:w="1065" w:type="dxa"/>
            <w:vMerge w:val="restart"/>
            <w:tcBorders>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r>
              <w:rPr>
                <w:rFonts w:hint="eastAsia" w:hAnsi="宋体" w:cs="宋体"/>
                <w:szCs w:val="21"/>
              </w:rPr>
              <w:t>加分项</w:t>
            </w:r>
          </w:p>
          <w:p>
            <w:pPr>
              <w:pStyle w:val="7"/>
              <w:ind w:firstLine="0" w:firstLineChars="0"/>
              <w:jc w:val="center"/>
              <w:rPr>
                <w:rFonts w:hint="eastAsia" w:hAnsi="宋体" w:cs="宋体"/>
                <w:szCs w:val="21"/>
              </w:rPr>
            </w:pPr>
            <w:r>
              <w:rPr>
                <w:rFonts w:hint="eastAsia" w:hAnsi="宋体" w:cs="宋体"/>
                <w:szCs w:val="21"/>
              </w:rPr>
              <w:t>5分</w:t>
            </w:r>
          </w:p>
        </w:tc>
        <w:tc>
          <w:tcPr>
            <w:tcW w:w="1230" w:type="dxa"/>
            <w:vMerge w:val="restart"/>
            <w:tcBorders>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r>
              <w:rPr>
                <w:rFonts w:hint="eastAsia" w:hAnsi="宋体" w:cs="宋体"/>
                <w:szCs w:val="21"/>
              </w:rPr>
              <w:t>加分项</w:t>
            </w:r>
          </w:p>
          <w:p>
            <w:pPr>
              <w:pStyle w:val="7"/>
              <w:ind w:firstLine="0" w:firstLineChars="0"/>
              <w:jc w:val="center"/>
              <w:rPr>
                <w:rFonts w:hint="eastAsia" w:hAnsi="宋体" w:cs="宋体"/>
                <w:szCs w:val="21"/>
              </w:rPr>
            </w:pPr>
            <w:r>
              <w:rPr>
                <w:rFonts w:hint="eastAsia" w:hAnsi="宋体" w:cs="宋体"/>
                <w:szCs w:val="21"/>
              </w:rPr>
              <w:t>5分</w:t>
            </w:r>
          </w:p>
        </w:tc>
        <w:tc>
          <w:tcPr>
            <w:tcW w:w="2895" w:type="dxa"/>
            <w:tcBorders>
              <w:left w:val="single" w:color="auto" w:sz="8" w:space="0"/>
              <w:bottom w:val="single" w:color="auto" w:sz="8" w:space="0"/>
              <w:right w:val="single" w:color="auto" w:sz="8" w:space="0"/>
            </w:tcBorders>
            <w:noWrap w:val="0"/>
            <w:vAlign w:val="center"/>
          </w:tcPr>
          <w:p>
            <w:pPr>
              <w:pStyle w:val="7"/>
              <w:ind w:firstLine="0" w:firstLineChars="0"/>
              <w:rPr>
                <w:rFonts w:hint="eastAsia" w:hAnsi="宋体" w:cs="宋体"/>
                <w:szCs w:val="21"/>
              </w:rPr>
            </w:pPr>
            <w:r>
              <w:rPr>
                <w:rFonts w:hint="eastAsia" w:hAnsi="宋体" w:cs="宋体"/>
                <w:szCs w:val="21"/>
              </w:rPr>
              <w:t>组织或参与公益诉讼</w:t>
            </w:r>
          </w:p>
        </w:tc>
        <w:tc>
          <w:tcPr>
            <w:tcW w:w="5265" w:type="dxa"/>
            <w:tcBorders>
              <w:left w:val="single" w:color="auto" w:sz="8" w:space="0"/>
              <w:bottom w:val="single" w:color="auto" w:sz="8" w:space="0"/>
              <w:right w:val="single" w:color="auto" w:sz="8" w:space="0"/>
            </w:tcBorders>
            <w:noWrap w:val="0"/>
            <w:vAlign w:val="center"/>
          </w:tcPr>
          <w:p>
            <w:pPr>
              <w:rPr>
                <w:rFonts w:hint="eastAsia" w:ascii="宋体" w:hAnsi="宋体" w:cs="宋体"/>
                <w:szCs w:val="21"/>
              </w:rPr>
            </w:pPr>
            <w:r>
              <w:rPr>
                <w:rFonts w:hint="eastAsia" w:ascii="宋体" w:hAnsi="宋体" w:cs="宋体"/>
                <w:szCs w:val="21"/>
              </w:rPr>
              <w:t>查相关文件资料。有组织或参与公益诉讼的，每参加一次，得1分。</w:t>
            </w:r>
          </w:p>
        </w:tc>
        <w:tc>
          <w:tcPr>
            <w:tcW w:w="1090" w:type="dxa"/>
            <w:tcBorders>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2246" w:type="dxa"/>
            <w:tcBorders>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886" w:type="dxa"/>
            <w:tcBorders>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68" w:hRule="atLeast"/>
          <w:jc w:val="center"/>
        </w:trPr>
        <w:tc>
          <w:tcPr>
            <w:tcW w:w="1065" w:type="dxa"/>
            <w:vMerge w:val="continue"/>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1230" w:type="dxa"/>
            <w:vMerge w:val="continue"/>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2895"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rPr>
                <w:rFonts w:hint="eastAsia" w:hAnsi="宋体" w:cs="宋体"/>
                <w:szCs w:val="21"/>
              </w:rPr>
            </w:pPr>
            <w:r>
              <w:rPr>
                <w:rFonts w:hint="eastAsia" w:hAnsi="宋体" w:cs="宋体"/>
                <w:szCs w:val="21"/>
              </w:rPr>
              <w:t>获国家和地方荣誉、知识产权优秀案例和社会团体解决的知识产权纠纷案例的表彰；</w:t>
            </w:r>
          </w:p>
          <w:p>
            <w:pPr>
              <w:pStyle w:val="7"/>
              <w:ind w:firstLine="0" w:firstLineChars="0"/>
              <w:rPr>
                <w:rFonts w:hint="eastAsia" w:hAnsi="宋体" w:cs="宋体"/>
                <w:szCs w:val="21"/>
              </w:rPr>
            </w:pPr>
            <w:r>
              <w:rPr>
                <w:rFonts w:hint="eastAsia" w:hAnsi="宋体" w:cs="宋体"/>
                <w:szCs w:val="21"/>
              </w:rPr>
              <w:t>知识产权保护方面的亮点措施、实际成效措施等</w:t>
            </w:r>
          </w:p>
        </w:tc>
        <w:tc>
          <w:tcPr>
            <w:tcW w:w="5265" w:type="dxa"/>
            <w:tcBorders>
              <w:top w:val="single" w:color="auto" w:sz="8" w:space="0"/>
              <w:left w:val="single" w:color="auto" w:sz="8" w:space="0"/>
              <w:bottom w:val="single" w:color="auto" w:sz="8" w:space="0"/>
              <w:right w:val="single" w:color="auto" w:sz="8" w:space="0"/>
            </w:tcBorders>
            <w:noWrap w:val="0"/>
            <w:vAlign w:val="center"/>
          </w:tcPr>
          <w:p>
            <w:pPr>
              <w:rPr>
                <w:rFonts w:hint="eastAsia" w:ascii="宋体" w:hAnsi="宋体" w:cs="宋体"/>
                <w:szCs w:val="21"/>
              </w:rPr>
            </w:pPr>
            <w:r>
              <w:rPr>
                <w:rFonts w:hint="eastAsia" w:ascii="宋体" w:hAnsi="宋体" w:cs="宋体"/>
                <w:szCs w:val="21"/>
              </w:rPr>
              <w:t>查相关文件资料。获国家和地方荣誉情况，获表彰的知识产权优秀案例、社会团体解决的知识产权纠纷案例，或知识产权保护方面的亮点措施、实际成效措施等，得1～5分。</w:t>
            </w:r>
          </w:p>
        </w:tc>
        <w:tc>
          <w:tcPr>
            <w:tcW w:w="1090"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2246"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886"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30" w:hRule="atLeast"/>
          <w:jc w:val="center"/>
        </w:trPr>
        <w:tc>
          <w:tcPr>
            <w:tcW w:w="1065" w:type="dxa"/>
            <w:vMerge w:val="continue"/>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1230" w:type="dxa"/>
            <w:vMerge w:val="continue"/>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2895"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rPr>
                <w:rFonts w:hint="eastAsia" w:hAnsi="宋体" w:cs="宋体"/>
                <w:szCs w:val="21"/>
              </w:rPr>
            </w:pPr>
            <w:r>
              <w:rPr>
                <w:rFonts w:hint="eastAsia" w:hAnsi="宋体" w:cs="宋体"/>
                <w:szCs w:val="21"/>
              </w:rPr>
              <w:t>协助知识产权主管部门开展知识产权工作；</w:t>
            </w:r>
          </w:p>
          <w:p>
            <w:pPr>
              <w:pStyle w:val="7"/>
              <w:ind w:firstLine="0" w:firstLineChars="0"/>
              <w:rPr>
                <w:rFonts w:hint="eastAsia" w:hAnsi="宋体" w:cs="宋体"/>
                <w:szCs w:val="21"/>
              </w:rPr>
            </w:pPr>
            <w:r>
              <w:rPr>
                <w:rFonts w:hint="eastAsia" w:hAnsi="宋体" w:cs="宋体"/>
                <w:szCs w:val="21"/>
              </w:rPr>
              <w:t>取得其他知识产权保护相关工作成效</w:t>
            </w:r>
          </w:p>
        </w:tc>
        <w:tc>
          <w:tcPr>
            <w:tcW w:w="5265" w:type="dxa"/>
            <w:tcBorders>
              <w:top w:val="single" w:color="auto" w:sz="8" w:space="0"/>
              <w:left w:val="single" w:color="auto" w:sz="8" w:space="0"/>
              <w:bottom w:val="single" w:color="auto" w:sz="8" w:space="0"/>
              <w:right w:val="single" w:color="auto" w:sz="8" w:space="0"/>
            </w:tcBorders>
            <w:noWrap w:val="0"/>
            <w:vAlign w:val="center"/>
          </w:tcPr>
          <w:p>
            <w:pPr>
              <w:rPr>
                <w:rFonts w:hint="eastAsia" w:ascii="宋体" w:hAnsi="宋体" w:cs="宋体"/>
                <w:szCs w:val="21"/>
              </w:rPr>
            </w:pPr>
            <w:r>
              <w:rPr>
                <w:rFonts w:hint="eastAsia" w:ascii="宋体" w:hAnsi="宋体" w:cs="宋体"/>
                <w:szCs w:val="21"/>
              </w:rPr>
              <w:t>查相关文件资料。有协助知识产权主管部门开展知识产权工作，或取得其他知识产权保护相关工作成效，得1～5分。</w:t>
            </w:r>
          </w:p>
        </w:tc>
        <w:tc>
          <w:tcPr>
            <w:tcW w:w="1090"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2246"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886"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jc w:val="center"/>
        </w:trPr>
        <w:tc>
          <w:tcPr>
            <w:tcW w:w="1065" w:type="dxa"/>
            <w:vMerge w:val="restart"/>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r>
              <w:rPr>
                <w:rFonts w:hint="eastAsia" w:hAnsi="宋体" w:cs="宋体"/>
                <w:szCs w:val="21"/>
              </w:rPr>
              <w:t>扣分项</w:t>
            </w:r>
          </w:p>
          <w:p>
            <w:pPr>
              <w:pStyle w:val="7"/>
              <w:ind w:firstLine="0" w:firstLineChars="0"/>
              <w:jc w:val="center"/>
              <w:rPr>
                <w:rFonts w:hint="eastAsia" w:hAnsi="宋体" w:cs="宋体"/>
                <w:szCs w:val="21"/>
              </w:rPr>
            </w:pPr>
            <w:r>
              <w:rPr>
                <w:rFonts w:hint="eastAsia" w:hAnsi="宋体" w:cs="宋体"/>
                <w:szCs w:val="21"/>
              </w:rPr>
              <w:t>5分</w:t>
            </w:r>
          </w:p>
        </w:tc>
        <w:tc>
          <w:tcPr>
            <w:tcW w:w="1230" w:type="dxa"/>
            <w:vMerge w:val="restart"/>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r>
              <w:rPr>
                <w:rFonts w:hint="eastAsia" w:hAnsi="宋体" w:cs="宋体"/>
                <w:szCs w:val="21"/>
              </w:rPr>
              <w:t>扣分项</w:t>
            </w:r>
          </w:p>
          <w:p>
            <w:pPr>
              <w:pStyle w:val="7"/>
              <w:ind w:firstLine="0" w:firstLineChars="0"/>
              <w:jc w:val="center"/>
              <w:rPr>
                <w:rFonts w:hint="eastAsia" w:hAnsi="宋体" w:cs="宋体"/>
                <w:szCs w:val="21"/>
              </w:rPr>
            </w:pPr>
            <w:r>
              <w:rPr>
                <w:rFonts w:hint="eastAsia" w:hAnsi="宋体" w:cs="宋体"/>
                <w:szCs w:val="21"/>
              </w:rPr>
              <w:t>5分</w:t>
            </w:r>
          </w:p>
        </w:tc>
        <w:tc>
          <w:tcPr>
            <w:tcW w:w="2895"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rPr>
                <w:rFonts w:hint="eastAsia" w:hAnsi="宋体" w:cs="宋体"/>
                <w:szCs w:val="21"/>
              </w:rPr>
            </w:pPr>
            <w:r>
              <w:rPr>
                <w:rFonts w:hint="eastAsia" w:hAnsi="宋体" w:cs="宋体"/>
                <w:szCs w:val="21"/>
              </w:rPr>
              <w:t>工作站在知识产权主管部门备案超过时限；</w:t>
            </w:r>
          </w:p>
          <w:p>
            <w:pPr>
              <w:pStyle w:val="7"/>
              <w:ind w:firstLine="0" w:firstLineChars="0"/>
              <w:rPr>
                <w:rFonts w:hint="eastAsia" w:hAnsi="宋体" w:cs="宋体"/>
                <w:szCs w:val="21"/>
              </w:rPr>
            </w:pPr>
            <w:r>
              <w:rPr>
                <w:rFonts w:hint="eastAsia" w:hAnsi="宋体" w:cs="宋体"/>
                <w:szCs w:val="21"/>
              </w:rPr>
              <w:t>不积极参加知识产权主管部门组织的活动；</w:t>
            </w:r>
          </w:p>
          <w:p>
            <w:pPr>
              <w:pStyle w:val="7"/>
              <w:ind w:firstLine="0" w:firstLineChars="0"/>
              <w:rPr>
                <w:rFonts w:hint="eastAsia" w:hAnsi="宋体" w:cs="宋体"/>
                <w:szCs w:val="21"/>
              </w:rPr>
            </w:pPr>
            <w:r>
              <w:rPr>
                <w:rFonts w:hint="eastAsia" w:hAnsi="宋体" w:cs="宋体"/>
                <w:szCs w:val="21"/>
              </w:rPr>
              <w:t>不积极参加深圳市知识产权保护工作站联盟组织的活动</w:t>
            </w:r>
          </w:p>
        </w:tc>
        <w:tc>
          <w:tcPr>
            <w:tcW w:w="5265" w:type="dxa"/>
            <w:tcBorders>
              <w:top w:val="single" w:color="auto" w:sz="8" w:space="0"/>
              <w:left w:val="single" w:color="auto" w:sz="8" w:space="0"/>
              <w:bottom w:val="single" w:color="auto" w:sz="8" w:space="0"/>
              <w:right w:val="single" w:color="auto" w:sz="8" w:space="0"/>
            </w:tcBorders>
            <w:noWrap w:val="0"/>
            <w:vAlign w:val="center"/>
          </w:tcPr>
          <w:p>
            <w:pPr>
              <w:rPr>
                <w:rFonts w:hint="eastAsia" w:ascii="宋体" w:hAnsi="宋体" w:cs="宋体"/>
                <w:szCs w:val="21"/>
              </w:rPr>
            </w:pPr>
            <w:r>
              <w:rPr>
                <w:rFonts w:hint="eastAsia" w:ascii="宋体" w:hAnsi="宋体" w:cs="宋体"/>
                <w:szCs w:val="21"/>
              </w:rPr>
              <w:t>工作站在理事会同意成立之日到知识产权主管部门备案并揭牌之日起，超过90日的，扣1分；</w:t>
            </w:r>
          </w:p>
          <w:p>
            <w:pPr>
              <w:rPr>
                <w:rFonts w:hint="eastAsia" w:ascii="宋体" w:hAnsi="宋体" w:cs="宋体"/>
                <w:szCs w:val="21"/>
              </w:rPr>
            </w:pPr>
            <w:r>
              <w:rPr>
                <w:rFonts w:hint="eastAsia" w:ascii="宋体" w:hAnsi="宋体" w:cs="宋体"/>
                <w:szCs w:val="21"/>
              </w:rPr>
              <w:t>超过3次（不含）未参加知识产权主管部门组织的活动，扣1分；</w:t>
            </w:r>
          </w:p>
          <w:p>
            <w:pPr>
              <w:rPr>
                <w:rFonts w:hint="eastAsia" w:ascii="宋体" w:hAnsi="宋体" w:cs="宋体"/>
                <w:szCs w:val="21"/>
              </w:rPr>
            </w:pPr>
            <w:r>
              <w:rPr>
                <w:rFonts w:hint="eastAsia" w:ascii="宋体" w:hAnsi="宋体" w:cs="宋体"/>
                <w:szCs w:val="21"/>
              </w:rPr>
              <w:t>超过3次（不含）未参加深圳市知识产权保护工作站联盟组织的活动，扣1分。</w:t>
            </w:r>
          </w:p>
        </w:tc>
        <w:tc>
          <w:tcPr>
            <w:tcW w:w="1090"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2246"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886"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jc w:val="center"/>
        </w:trPr>
        <w:tc>
          <w:tcPr>
            <w:tcW w:w="1065" w:type="dxa"/>
            <w:vMerge w:val="continue"/>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1230" w:type="dxa"/>
            <w:vMerge w:val="continue"/>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2895"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rPr>
                <w:rFonts w:hint="eastAsia" w:hAnsi="宋体" w:cs="宋体"/>
                <w:szCs w:val="21"/>
              </w:rPr>
            </w:pPr>
            <w:r>
              <w:rPr>
                <w:rFonts w:hint="eastAsia" w:hAnsi="宋体" w:cs="宋体"/>
                <w:szCs w:val="21"/>
              </w:rPr>
              <w:t>会员侵权他人知识产权构成犯罪，工作站未及时进行约谈和处理的</w:t>
            </w:r>
          </w:p>
        </w:tc>
        <w:tc>
          <w:tcPr>
            <w:tcW w:w="5265" w:type="dxa"/>
            <w:tcBorders>
              <w:top w:val="single" w:color="auto" w:sz="8" w:space="0"/>
              <w:left w:val="single" w:color="auto" w:sz="8" w:space="0"/>
              <w:bottom w:val="single" w:color="auto" w:sz="8" w:space="0"/>
              <w:right w:val="single" w:color="auto" w:sz="8" w:space="0"/>
            </w:tcBorders>
            <w:noWrap w:val="0"/>
            <w:vAlign w:val="center"/>
          </w:tcPr>
          <w:p>
            <w:pPr>
              <w:rPr>
                <w:rFonts w:hint="eastAsia" w:ascii="宋体" w:hAnsi="宋体" w:cs="宋体"/>
                <w:szCs w:val="21"/>
              </w:rPr>
            </w:pPr>
            <w:r>
              <w:rPr>
                <w:rFonts w:hint="eastAsia" w:ascii="宋体" w:hAnsi="宋体" w:cs="宋体"/>
                <w:szCs w:val="21"/>
              </w:rPr>
              <w:t>会员有侵犯他人知识产权构成犯罪，工作站未及时进行约谈和处理的，每发生一次，扣1分。</w:t>
            </w:r>
          </w:p>
        </w:tc>
        <w:tc>
          <w:tcPr>
            <w:tcW w:w="1090"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2246"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886"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jc w:val="center"/>
        </w:trPr>
        <w:tc>
          <w:tcPr>
            <w:tcW w:w="1065" w:type="dxa"/>
            <w:vMerge w:val="continue"/>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1230" w:type="dxa"/>
            <w:vMerge w:val="continue"/>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2895"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rPr>
                <w:rFonts w:hint="eastAsia" w:hAnsi="宋体" w:cs="宋体"/>
                <w:szCs w:val="21"/>
              </w:rPr>
            </w:pPr>
            <w:r>
              <w:rPr>
                <w:rFonts w:hint="eastAsia" w:hAnsi="宋体" w:cs="宋体"/>
                <w:szCs w:val="21"/>
              </w:rPr>
              <w:t>对于会员反馈遇到的知识产权问题不予处理</w:t>
            </w:r>
          </w:p>
        </w:tc>
        <w:tc>
          <w:tcPr>
            <w:tcW w:w="5265" w:type="dxa"/>
            <w:tcBorders>
              <w:top w:val="single" w:color="auto" w:sz="8" w:space="0"/>
              <w:left w:val="single" w:color="auto" w:sz="8" w:space="0"/>
              <w:bottom w:val="single" w:color="auto" w:sz="8" w:space="0"/>
              <w:right w:val="single" w:color="auto" w:sz="8" w:space="0"/>
            </w:tcBorders>
            <w:noWrap w:val="0"/>
            <w:vAlign w:val="center"/>
          </w:tcPr>
          <w:p>
            <w:pPr>
              <w:rPr>
                <w:rFonts w:hint="eastAsia" w:ascii="宋体" w:hAnsi="宋体" w:cs="宋体"/>
                <w:szCs w:val="21"/>
              </w:rPr>
            </w:pPr>
            <w:r>
              <w:rPr>
                <w:rFonts w:hint="eastAsia" w:ascii="宋体" w:hAnsi="宋体" w:cs="宋体"/>
                <w:szCs w:val="21"/>
              </w:rPr>
              <w:t>对于会员反馈遇到的知识产权问题不予处理，并投诉到知识产权主管部门或深圳市知识产权保护工作站联盟的，每投诉一次，扣1分。</w:t>
            </w:r>
          </w:p>
        </w:tc>
        <w:tc>
          <w:tcPr>
            <w:tcW w:w="1090"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2246"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c>
          <w:tcPr>
            <w:tcW w:w="886" w:type="dxa"/>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14677" w:type="dxa"/>
            <w:gridSpan w:val="7"/>
            <w:tcBorders>
              <w:top w:val="single" w:color="auto" w:sz="8" w:space="0"/>
              <w:left w:val="single" w:color="auto" w:sz="8" w:space="0"/>
              <w:bottom w:val="single" w:color="auto" w:sz="8" w:space="0"/>
              <w:right w:val="single" w:color="auto" w:sz="8" w:space="0"/>
            </w:tcBorders>
            <w:noWrap w:val="0"/>
            <w:vAlign w:val="center"/>
          </w:tcPr>
          <w:p>
            <w:pPr>
              <w:pStyle w:val="7"/>
              <w:ind w:firstLine="0" w:firstLineChars="0"/>
              <w:jc w:val="center"/>
              <w:rPr>
                <w:rFonts w:hint="eastAsia" w:hAnsi="宋体" w:cs="宋体"/>
                <w:szCs w:val="21"/>
              </w:rPr>
            </w:pPr>
            <w:r>
              <w:rPr>
                <w:rFonts w:hint="eastAsia" w:hAnsi="宋体" w:cs="宋体"/>
                <w:szCs w:val="21"/>
              </w:rPr>
              <w:t>总计得分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14677" w:type="dxa"/>
            <w:gridSpan w:val="7"/>
            <w:tcBorders>
              <w:top w:val="single" w:color="auto" w:sz="8" w:space="0"/>
              <w:left w:val="single" w:color="auto" w:sz="8" w:space="0"/>
              <w:bottom w:val="single" w:color="auto" w:sz="8" w:space="0"/>
              <w:right w:val="single" w:color="auto" w:sz="8" w:space="0"/>
            </w:tcBorders>
            <w:noWrap w:val="0"/>
            <w:vAlign w:val="center"/>
          </w:tcPr>
          <w:p>
            <w:pPr>
              <w:pStyle w:val="9"/>
              <w:numPr>
                <w:ilvl w:val="0"/>
                <w:numId w:val="0"/>
              </w:numPr>
              <w:ind w:left="363"/>
              <w:rPr>
                <w:rFonts w:hint="eastAsia" w:hAnsi="宋体" w:cs="宋体"/>
                <w:sz w:val="21"/>
                <w:szCs w:val="21"/>
              </w:rPr>
            </w:pPr>
            <w:r>
              <w:rPr>
                <w:rFonts w:hint="eastAsia" w:hAnsi="宋体" w:cs="宋体"/>
                <w:sz w:val="21"/>
                <w:szCs w:val="21"/>
              </w:rPr>
              <w:t>注：加分项总共最高可加5分，扣分项总共最高扣5分。</w:t>
            </w:r>
          </w:p>
        </w:tc>
      </w:tr>
    </w:tbl>
    <w:p>
      <w:pPr>
        <w:pStyle w:val="7"/>
        <w:spacing w:before="156" w:beforeLines="50" w:after="156" w:afterLines="50"/>
        <w:ind w:firstLine="0" w:firstLineChars="0"/>
        <w:rPr>
          <w:rFonts w:hint="eastAsia" w:ascii="华文中宋" w:hAnsi="华文中宋" w:eastAsia="华文中宋" w:cs="华文中宋"/>
          <w:sz w:val="44"/>
          <w:szCs w:val="44"/>
        </w:rPr>
      </w:pPr>
    </w:p>
    <w:p>
      <w:pPr>
        <w:pStyle w:val="7"/>
        <w:spacing w:before="156" w:beforeLines="50" w:after="156" w:afterLines="50"/>
        <w:ind w:firstLine="0" w:firstLineChars="0"/>
        <w:rPr>
          <w:rFonts w:hint="eastAsia" w:ascii="华文中宋" w:hAnsi="华文中宋" w:eastAsia="华文中宋" w:cs="华文中宋"/>
          <w:sz w:val="44"/>
          <w:szCs w:val="44"/>
        </w:rPr>
      </w:pPr>
    </w:p>
    <w:p>
      <w:pPr>
        <w:spacing w:line="600" w:lineRule="exact"/>
        <w:jc w:val="left"/>
        <w:rPr>
          <w:rFonts w:ascii="黑体" w:hAnsi="黑体" w:eastAsia="黑体" w:cs="黑体"/>
          <w:szCs w:val="32"/>
        </w:rPr>
        <w:sectPr>
          <w:pgSz w:w="16838" w:h="11906" w:orient="landscape"/>
          <w:pgMar w:top="1474" w:right="1588" w:bottom="1474" w:left="1588" w:header="851" w:footer="992" w:gutter="0"/>
          <w:cols w:space="720" w:num="1"/>
          <w:titlePg/>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91891"/>
    <w:multiLevelType w:val="multilevel"/>
    <w:tmpl w:val="2B391891"/>
    <w:lvl w:ilvl="0" w:tentative="0">
      <w:start w:val="1"/>
      <w:numFmt w:val="decimal"/>
      <w:pStyle w:val="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2C5917C3"/>
    <w:multiLevelType w:val="multilevel"/>
    <w:tmpl w:val="2C5917C3"/>
    <w:lvl w:ilvl="0" w:tentative="0">
      <w:start w:val="1"/>
      <w:numFmt w:val="none"/>
      <w:pStyle w:val="8"/>
      <w:suff w:val="nothing"/>
      <w:lvlText w:val="%1——"/>
      <w:lvlJc w:val="left"/>
      <w:pPr>
        <w:ind w:left="549" w:hanging="408"/>
      </w:pPr>
      <w:rPr>
        <w:rFonts w:hint="eastAsia"/>
        <w:lang w:val="en-US"/>
      </w:rPr>
    </w:lvl>
    <w:lvl w:ilvl="1" w:tentative="0">
      <w:start w:val="1"/>
      <w:numFmt w:val="bullet"/>
      <w:lvlText w:val=""/>
      <w:lvlJc w:val="left"/>
      <w:pPr>
        <w:tabs>
          <w:tab w:val="left" w:pos="902"/>
        </w:tabs>
        <w:ind w:left="1406" w:hanging="413"/>
      </w:pPr>
      <w:rPr>
        <w:rFonts w:hint="default" w:ascii="Symbol" w:hAnsi="Symbol"/>
        <w:color w:val="auto"/>
      </w:rPr>
    </w:lvl>
    <w:lvl w:ilvl="2" w:tentative="0">
      <w:start w:val="1"/>
      <w:numFmt w:val="bullet"/>
      <w:lvlText w:val=""/>
      <w:lvlJc w:val="left"/>
      <w:pPr>
        <w:tabs>
          <w:tab w:val="left" w:pos="1820"/>
        </w:tabs>
        <w:ind w:left="1820" w:hanging="414"/>
      </w:pPr>
      <w:rPr>
        <w:rFonts w:hint="default" w:ascii="Symbol" w:hAnsi="Symbol"/>
        <w:color w:val="auto"/>
      </w:rPr>
    </w:lvl>
    <w:lvl w:ilvl="3" w:tentative="0">
      <w:start w:val="1"/>
      <w:numFmt w:val="decimal"/>
      <w:lvlText w:val="%4."/>
      <w:lvlJc w:val="left"/>
      <w:pPr>
        <w:tabs>
          <w:tab w:val="left" w:pos="2213"/>
        </w:tabs>
        <w:ind w:left="2026" w:hanging="528"/>
      </w:pPr>
      <w:rPr>
        <w:rFonts w:hint="eastAsia"/>
      </w:rPr>
    </w:lvl>
    <w:lvl w:ilvl="4" w:tentative="0">
      <w:start w:val="1"/>
      <w:numFmt w:val="lowerLetter"/>
      <w:lvlText w:val="%5)"/>
      <w:lvlJc w:val="left"/>
      <w:pPr>
        <w:tabs>
          <w:tab w:val="left" w:pos="2525"/>
        </w:tabs>
        <w:ind w:left="2338" w:hanging="528"/>
      </w:pPr>
      <w:rPr>
        <w:rFonts w:hint="eastAsia"/>
      </w:rPr>
    </w:lvl>
    <w:lvl w:ilvl="5" w:tentative="0">
      <w:start w:val="1"/>
      <w:numFmt w:val="lowerRoman"/>
      <w:lvlText w:val="%6."/>
      <w:lvlJc w:val="right"/>
      <w:pPr>
        <w:tabs>
          <w:tab w:val="left" w:pos="2837"/>
        </w:tabs>
        <w:ind w:left="2650" w:hanging="528"/>
      </w:pPr>
      <w:rPr>
        <w:rFonts w:hint="eastAsia"/>
      </w:rPr>
    </w:lvl>
    <w:lvl w:ilvl="6" w:tentative="0">
      <w:start w:val="1"/>
      <w:numFmt w:val="decimal"/>
      <w:lvlText w:val="%7."/>
      <w:lvlJc w:val="left"/>
      <w:pPr>
        <w:tabs>
          <w:tab w:val="left" w:pos="3149"/>
        </w:tabs>
        <w:ind w:left="2962" w:hanging="528"/>
      </w:pPr>
      <w:rPr>
        <w:rFonts w:hint="eastAsia"/>
      </w:rPr>
    </w:lvl>
    <w:lvl w:ilvl="7" w:tentative="0">
      <w:start w:val="1"/>
      <w:numFmt w:val="lowerLetter"/>
      <w:lvlText w:val="%8)"/>
      <w:lvlJc w:val="left"/>
      <w:pPr>
        <w:tabs>
          <w:tab w:val="left" w:pos="3461"/>
        </w:tabs>
        <w:ind w:left="3274" w:hanging="528"/>
      </w:pPr>
      <w:rPr>
        <w:rFonts w:hint="eastAsia"/>
      </w:rPr>
    </w:lvl>
    <w:lvl w:ilvl="8" w:tentative="0">
      <w:start w:val="1"/>
      <w:numFmt w:val="lowerRoman"/>
      <w:lvlText w:val="%9."/>
      <w:lvlJc w:val="right"/>
      <w:pPr>
        <w:tabs>
          <w:tab w:val="left" w:pos="3773"/>
        </w:tabs>
        <w:ind w:left="3586" w:hanging="528"/>
      </w:pPr>
      <w:rPr>
        <w:rFonts w:hint="eastAsia"/>
      </w:rPr>
    </w:lvl>
  </w:abstractNum>
  <w:abstractNum w:abstractNumId="2">
    <w:nsid w:val="6DC5F6B6"/>
    <w:multiLevelType w:val="multilevel"/>
    <w:tmpl w:val="6DC5F6B6"/>
    <w:lvl w:ilvl="0" w:tentative="0">
      <w:start w:val="1"/>
      <w:numFmt w:val="decimal"/>
      <w:suff w:val="nothing"/>
      <w:lvlText w:val="%1."/>
      <w:lvlJc w:val="left"/>
      <w:pPr>
        <w:tabs>
          <w:tab w:val="left" w:pos="420"/>
        </w:tabs>
        <w:ind w:left="0" w:leftChars="0" w:firstLine="0" w:firstLineChars="0"/>
      </w:pPr>
      <w:rPr>
        <w:rFonts w:hint="default" w:ascii="黑体" w:hAnsi="黑体" w:eastAsia="黑体" w:cs="黑体"/>
        <w:sz w:val="32"/>
        <w:szCs w:val="32"/>
      </w:rPr>
    </w:lvl>
    <w:lvl w:ilvl="1" w:tentative="0">
      <w:start w:val="1"/>
      <w:numFmt w:val="decimal"/>
      <w:suff w:val="space"/>
      <w:lvlText w:val="%1.%2"/>
      <w:lvlJc w:val="left"/>
      <w:pPr>
        <w:tabs>
          <w:tab w:val="left" w:pos="0"/>
        </w:tabs>
        <w:ind w:left="0" w:leftChars="0" w:firstLine="0" w:firstLineChars="0"/>
      </w:pPr>
      <w:rPr>
        <w:rFonts w:hint="default" w:ascii="仿宋_GB2312" w:hAnsi="仿宋_GB2312" w:eastAsia="仿宋_GB2312" w:cs="仿宋_GB2312"/>
        <w:sz w:val="32"/>
        <w:szCs w:val="32"/>
      </w:rPr>
    </w:lvl>
    <w:lvl w:ilvl="2" w:tentative="0">
      <w:start w:val="1"/>
      <w:numFmt w:val="decimal"/>
      <w:pStyle w:val="2"/>
      <w:suff w:val="space"/>
      <w:lvlText w:val="%1.%2.%3"/>
      <w:lvlJc w:val="left"/>
      <w:pPr>
        <w:tabs>
          <w:tab w:val="left" w:pos="0"/>
        </w:tabs>
        <w:ind w:left="0" w:leftChars="0" w:firstLine="0" w:firstLineChars="0"/>
      </w:pPr>
      <w:rPr>
        <w:rFonts w:hint="default" w:ascii="仿宋_GB2312" w:hAnsi="仿宋_GB2312" w:eastAsia="仿宋_GB2312" w:cs="仿宋_GB2312"/>
        <w:sz w:val="32"/>
        <w:szCs w:val="32"/>
      </w:rPr>
    </w:lvl>
    <w:lvl w:ilvl="3" w:tentative="0">
      <w:start w:val="1"/>
      <w:numFmt w:val="decimal"/>
      <w:suff w:val="space"/>
      <w:lvlText w:val="%1.%2.%3.%4"/>
      <w:lvlJc w:val="left"/>
      <w:pPr>
        <w:tabs>
          <w:tab w:val="left" w:pos="0"/>
        </w:tabs>
        <w:ind w:left="0" w:leftChars="0" w:firstLine="0" w:firstLineChars="0"/>
      </w:pPr>
      <w:rPr>
        <w:rFonts w:hint="default" w:ascii="仿宋_GB2312" w:hAnsi="仿宋_GB2312" w:eastAsia="仿宋_GB2312" w:cs="仿宋_GB2312"/>
        <w:sz w:val="32"/>
        <w:szCs w:val="32"/>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F0B5D"/>
    <w:rsid w:val="49CF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9">
    <w:name w:val="注×：（正文）"/>
    <w:qFormat/>
    <w:uiPriority w:val="0"/>
    <w:pPr>
      <w:numPr>
        <w:ilvl w:val="0"/>
        <w:numId w:val="3"/>
      </w:numPr>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2024-01-22T09:36:00Z</dcterms:created>
  <dc:creator>曾伟荣</dc:creator>
  <cp:lastModifiedBy>曾伟荣</cp:lastModifiedBy>
  <dcterms:modified xsi:type="dcterms:W3CDTF">2024-01-22T09:36:33Z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