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625" w:beforeLines="200" w:beforeAutospacing="0" w:after="313" w:afterLines="100" w:afterAutospacing="0"/>
        <w:ind w:firstLine="0"/>
        <w:jc w:val="center"/>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color w:val="auto"/>
          <w:sz w:val="44"/>
          <w:szCs w:val="44"/>
          <w:lang w:eastAsia="zh-CN"/>
        </w:rPr>
        <w:t>度</w:t>
      </w:r>
      <w:r>
        <w:rPr>
          <w:rFonts w:hint="eastAsia" w:ascii="方正小标宋简体" w:hAnsi="方正小标宋简体" w:eastAsia="方正小标宋简体" w:cs="方正小标宋简体"/>
          <w:b w:val="0"/>
          <w:bCs w:val="0"/>
          <w:sz w:val="44"/>
          <w:szCs w:val="44"/>
        </w:rPr>
        <w:t>知识产权服务机构能力提升奖励项目申报指南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color w:val="auto"/>
          <w:sz w:val="32"/>
          <w:szCs w:val="32"/>
          <w:highlight w:val="none"/>
          <w:lang w:val="en-US" w:eastAsia="zh-CN"/>
        </w:rPr>
        <w:t>度</w:t>
      </w:r>
      <w:r>
        <w:rPr>
          <w:rFonts w:hint="eastAsia" w:ascii="仿宋_GB2312" w:hAnsi="Times New Roman" w:eastAsia="仿宋_GB2312" w:cs="Times New Roman"/>
          <w:sz w:val="32"/>
          <w:szCs w:val="32"/>
          <w:highlight w:val="none"/>
        </w:rPr>
        <w:t>知识产权服务机构能力提升奖励</w:t>
      </w:r>
      <w:r>
        <w:rPr>
          <w:rFonts w:hint="eastAsia" w:ascii="仿宋_GB2312" w:hAnsi="Times New Roman" w:eastAsia="仿宋_GB2312" w:cs="Times New Roman"/>
          <w:bCs w:val="0"/>
          <w:sz w:val="32"/>
          <w:szCs w:val="32"/>
          <w:highlight w:val="none"/>
        </w:rPr>
        <w:t>项目</w:t>
      </w:r>
      <w:r>
        <w:rPr>
          <w:rFonts w:hint="eastAsia" w:ascii="仿宋_GB2312" w:hAnsi="Times New Roman" w:eastAsia="仿宋_GB2312" w:cs="Times New Roman"/>
          <w:sz w:val="32"/>
          <w:szCs w:val="32"/>
          <w:highlight w:val="none"/>
          <w:lang w:val="en-US" w:eastAsia="zh-CN"/>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设定依据</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（一）《深圳市市场监督管理局专项资金管理办法》</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深市监规〔2020〕3号</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（二）《深圳市市场监督管理局知识产权领域专项资金操作规程》</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深市监规〔2022〕10号</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val="0"/>
          <w:bCs w:val="0"/>
          <w:sz w:val="32"/>
          <w:szCs w:val="32"/>
        </w:rPr>
        <w:t xml:space="preserve"> </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每年评选不超过10家，每家奖励20万元。本条与</w:t>
      </w:r>
      <w:r>
        <w:rPr>
          <w:rFonts w:hint="eastAsia" w:ascii="仿宋_GB2312" w:hAnsi="Times New Roman" w:eastAsia="仿宋_GB2312" w:cs="Times New Roman"/>
          <w:sz w:val="32"/>
          <w:szCs w:val="32"/>
          <w:highlight w:val="none"/>
          <w:lang w:eastAsia="zh-CN"/>
        </w:rPr>
        <w:t>本规程第十一条（</w:t>
      </w:r>
      <w:r>
        <w:rPr>
          <w:rFonts w:hint="eastAsia" w:ascii="仿宋_GB2312" w:hAnsi="Times New Roman" w:eastAsia="仿宋_GB2312" w:cs="Times New Roman"/>
          <w:bCs w:val="0"/>
          <w:sz w:val="32"/>
          <w:szCs w:val="32"/>
          <w:highlight w:val="none"/>
        </w:rPr>
        <w:t>深圳市知识产权优势单位资助</w:t>
      </w:r>
      <w:r>
        <w:rPr>
          <w:rFonts w:hint="eastAsia" w:ascii="仿宋_GB2312" w:hAnsi="Times New Roman" w:eastAsia="仿宋_GB2312" w:cs="Times New Roman"/>
          <w:sz w:val="32"/>
          <w:szCs w:val="32"/>
          <w:highlight w:val="none"/>
          <w:lang w:eastAsia="zh-CN"/>
        </w:rPr>
        <w:t>）、第三十二条（知识产权</w:t>
      </w:r>
      <w:r>
        <w:rPr>
          <w:rFonts w:hint="eastAsia" w:ascii="仿宋_GB2312" w:eastAsia="仿宋_GB2312" w:cs="Times New Roman"/>
          <w:sz w:val="32"/>
          <w:szCs w:val="32"/>
          <w:highlight w:val="none"/>
          <w:lang w:eastAsia="zh-CN"/>
        </w:rPr>
        <w:t>运营</w:t>
      </w:r>
      <w:r>
        <w:rPr>
          <w:rFonts w:hint="eastAsia" w:ascii="仿宋_GB2312" w:hAnsi="Times New Roman" w:eastAsia="仿宋_GB2312" w:cs="Times New Roman"/>
          <w:sz w:val="32"/>
          <w:szCs w:val="32"/>
          <w:highlight w:val="none"/>
          <w:lang w:eastAsia="zh-CN"/>
        </w:rPr>
        <w:t>机构</w:t>
      </w:r>
      <w:r>
        <w:rPr>
          <w:rFonts w:hint="eastAsia" w:ascii="仿宋_GB2312" w:eastAsia="仿宋_GB2312" w:cs="Times New Roman"/>
          <w:sz w:val="32"/>
          <w:szCs w:val="32"/>
          <w:highlight w:val="none"/>
          <w:lang w:eastAsia="zh-CN"/>
        </w:rPr>
        <w:t>奖励</w:t>
      </w:r>
      <w:r>
        <w:rPr>
          <w:rFonts w:hint="eastAsia" w:ascii="仿宋_GB2312" w:hAnsi="Times New Roman" w:eastAsia="仿宋_GB2312" w:cs="Times New Roman"/>
          <w:sz w:val="32"/>
          <w:szCs w:val="32"/>
          <w:highlight w:val="none"/>
          <w:lang w:eastAsia="zh-CN"/>
        </w:rPr>
        <w:t>）规定的资助</w:t>
      </w:r>
      <w:r>
        <w:rPr>
          <w:rFonts w:hint="eastAsia" w:ascii="仿宋_GB2312" w:eastAsia="仿宋_GB2312" w:cs="Times New Roman"/>
          <w:sz w:val="32"/>
          <w:szCs w:val="32"/>
          <w:highlight w:val="none"/>
          <w:lang w:eastAsia="zh-CN"/>
        </w:rPr>
        <w:t>、奖励</w:t>
      </w:r>
      <w:r>
        <w:rPr>
          <w:rFonts w:hint="eastAsia" w:ascii="仿宋_GB2312" w:hAnsi="Times New Roman" w:eastAsia="仿宋_GB2312" w:cs="Times New Roman"/>
          <w:sz w:val="32"/>
          <w:szCs w:val="32"/>
          <w:highlight w:val="none"/>
        </w:rPr>
        <w:t>不可同时申报。</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申请人</w:t>
      </w:r>
      <w:r>
        <w:rPr>
          <w:rFonts w:hint="eastAsia" w:ascii="仿宋_GB2312" w:hAnsi="Times New Roman" w:eastAsia="仿宋_GB2312" w:cs="Times New Roman"/>
          <w:sz w:val="32"/>
          <w:szCs w:val="32"/>
          <w:highlight w:val="none"/>
        </w:rPr>
        <w:t>应</w:t>
      </w:r>
      <w:r>
        <w:rPr>
          <w:rFonts w:hint="eastAsia" w:ascii="仿宋_GB2312" w:eastAsia="仿宋_GB2312" w:cs="Times New Roman"/>
          <w:sz w:val="32"/>
          <w:szCs w:val="32"/>
          <w:highlight w:val="none"/>
          <w:lang w:eastAsia="zh-CN"/>
        </w:rPr>
        <w:t>当</w:t>
      </w:r>
      <w:r>
        <w:rPr>
          <w:rFonts w:hint="eastAsia" w:ascii="仿宋_GB2312" w:hAnsi="Times New Roman" w:eastAsia="仿宋_GB2312" w:cs="Times New Roman"/>
          <w:sz w:val="32"/>
          <w:szCs w:val="32"/>
          <w:highlight w:val="none"/>
        </w:rPr>
        <w:t>同时</w:t>
      </w:r>
      <w:r>
        <w:rPr>
          <w:rFonts w:hint="eastAsia" w:ascii="仿宋_GB2312" w:eastAsia="仿宋_GB2312" w:cs="Times New Roman"/>
          <w:sz w:val="32"/>
          <w:szCs w:val="32"/>
          <w:highlight w:val="none"/>
          <w:lang w:eastAsia="zh-CN"/>
        </w:rPr>
        <w:t>符合</w:t>
      </w:r>
      <w:r>
        <w:rPr>
          <w:rFonts w:hint="eastAsia" w:ascii="仿宋_GB2312" w:hAnsi="Times New Roman" w:eastAsia="仿宋_GB2312" w:cs="Times New Roman"/>
          <w:sz w:val="32"/>
          <w:szCs w:val="32"/>
          <w:highlight w:val="none"/>
        </w:rPr>
        <w:t>下列条件：</w:t>
      </w:r>
    </w:p>
    <w:p>
      <w:pPr>
        <w:numPr>
          <w:ilvl w:val="0"/>
          <w:numId w:val="2"/>
        </w:num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申请人属于依法登记注册的知识产权服务机构，在深圳市从事生产经营活动，且在深圳市拥有稳定办公场所</w:t>
      </w:r>
      <w:r>
        <w:rPr>
          <w:rFonts w:hint="eastAsia" w:ascii="仿宋_GB2312" w:hAnsi="Times New Roman" w:eastAsia="仿宋_GB2312" w:cs="Times New Roman"/>
          <w:sz w:val="32"/>
          <w:szCs w:val="32"/>
          <w:highlight w:val="none"/>
          <w:lang w:eastAsia="zh-CN"/>
        </w:rPr>
        <w:t>；</w:t>
      </w:r>
    </w:p>
    <w:p>
      <w:pPr>
        <w:numPr>
          <w:ilvl w:val="0"/>
          <w:numId w:val="2"/>
        </w:numPr>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在深圳市从事知识产权相关服务经营活动，为深圳市企事业单位、其他机构或个人提供知识产权服务；</w:t>
      </w:r>
    </w:p>
    <w:p>
      <w:pPr>
        <w:numPr>
          <w:ilvl w:val="0"/>
          <w:numId w:val="2"/>
        </w:numPr>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拥有专利代理师或律师10人以上；</w:t>
      </w:r>
    </w:p>
    <w:p>
      <w:pPr>
        <w:numPr>
          <w:ilvl w:val="0"/>
          <w:numId w:val="2"/>
        </w:numPr>
        <w:ind w:firstLine="640" w:firstLineChars="200"/>
        <w:rPr>
          <w:rFonts w:hint="eastAsia" w:ascii="仿宋_GB2312" w:hAnsi="Times New Roman" w:eastAsia="仿宋_GB2312" w:cs="Times New Roman"/>
          <w:sz w:val="32"/>
          <w:szCs w:val="32"/>
          <w:highlight w:val="none"/>
        </w:rPr>
      </w:pPr>
      <w:r>
        <w:rPr>
          <w:rFonts w:hint="eastAsia" w:ascii="仿宋_GB2312" w:eastAsia="仿宋_GB2312" w:cs="Times New Roman"/>
          <w:sz w:val="32"/>
          <w:szCs w:val="32"/>
          <w:highlight w:val="none"/>
          <w:lang w:val="en-US" w:eastAsia="zh-CN"/>
        </w:rPr>
        <w:t>2022</w:t>
      </w:r>
      <w:r>
        <w:rPr>
          <w:rFonts w:hint="eastAsia" w:ascii="仿宋_GB2312" w:hAnsi="Times New Roman" w:eastAsia="仿宋_GB2312" w:cs="Times New Roman"/>
          <w:sz w:val="32"/>
          <w:szCs w:val="32"/>
          <w:highlight w:val="none"/>
        </w:rPr>
        <w:t>年度代理知识产权许可转让、专利无效、专利复审、专利诉讼等业务案例5项以上；或已为至少2家世界500强企业提供知识产权业务服务；或</w:t>
      </w:r>
      <w:r>
        <w:rPr>
          <w:rFonts w:hint="eastAsia" w:ascii="仿宋_GB2312" w:eastAsia="仿宋_GB2312" w:cs="Times New Roman"/>
          <w:sz w:val="32"/>
          <w:szCs w:val="32"/>
          <w:highlight w:val="none"/>
          <w:lang w:val="en-US" w:eastAsia="zh-CN"/>
        </w:rPr>
        <w:t>2022</w:t>
      </w:r>
      <w:r>
        <w:rPr>
          <w:rFonts w:hint="eastAsia" w:ascii="仿宋_GB2312" w:hAnsi="Times New Roman" w:eastAsia="仿宋_GB2312" w:cs="Times New Roman"/>
          <w:sz w:val="32"/>
          <w:szCs w:val="32"/>
          <w:highlight w:val="none"/>
        </w:rPr>
        <w:t>年度代理的发明专利授权数量达100件以上，且</w:t>
      </w:r>
      <w:r>
        <w:rPr>
          <w:rFonts w:hint="eastAsia" w:ascii="仿宋_GB2312" w:eastAsia="仿宋_GB2312" w:cs="Times New Roman"/>
          <w:sz w:val="32"/>
          <w:szCs w:val="32"/>
          <w:highlight w:val="none"/>
          <w:lang w:val="en-US" w:eastAsia="zh-CN"/>
        </w:rPr>
        <w:t>2022</w:t>
      </w:r>
      <w:r>
        <w:rPr>
          <w:rFonts w:hint="eastAsia" w:ascii="仿宋_GB2312" w:hAnsi="Times New Roman" w:eastAsia="仿宋_GB2312" w:cs="Times New Roman"/>
          <w:sz w:val="32"/>
          <w:szCs w:val="32"/>
          <w:highlight w:val="none"/>
        </w:rPr>
        <w:t>年度发明专利代理授权率不低于60%；</w:t>
      </w:r>
    </w:p>
    <w:p>
      <w:pPr>
        <w:numPr>
          <w:ilvl w:val="0"/>
          <w:numId w:val="2"/>
        </w:numPr>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未被认定为深圳市知识产权优势企业，且未获得过知识产权运营机构奖励；</w:t>
      </w:r>
    </w:p>
    <w:p>
      <w:pPr>
        <w:numPr>
          <w:ilvl w:val="0"/>
          <w:numId w:val="2"/>
        </w:numPr>
        <w:ind w:firstLine="640" w:firstLineChars="200"/>
        <w:rPr>
          <w:rFonts w:hint="eastAsia" w:ascii="仿宋_GB2312" w:hAnsi="Times New Roman" w:eastAsia="仿宋_GB2312" w:cs="Times New Roman"/>
          <w:sz w:val="32"/>
          <w:szCs w:val="32"/>
          <w:highlight w:val="none"/>
        </w:rPr>
      </w:pPr>
      <w:r>
        <w:rPr>
          <w:rFonts w:hint="eastAsia" w:ascii="仿宋_GB2312" w:eastAsia="仿宋_GB2312" w:cs="Times New Roman"/>
          <w:sz w:val="32"/>
          <w:szCs w:val="32"/>
          <w:highlight w:val="none"/>
          <w:lang w:val="en-US" w:eastAsia="zh-CN"/>
        </w:rPr>
        <w:t>2022</w:t>
      </w:r>
      <w:r>
        <w:rPr>
          <w:rFonts w:hint="eastAsia" w:ascii="仿宋_GB2312" w:hAnsi="Times New Roman" w:eastAsia="仿宋_GB2312" w:cs="Times New Roman"/>
          <w:sz w:val="32"/>
          <w:szCs w:val="32"/>
          <w:highlight w:val="none"/>
        </w:rPr>
        <w:t>年度经营状况良好，产生了较好的经济效益</w:t>
      </w:r>
      <w:r>
        <w:rPr>
          <w:rFonts w:hint="eastAsia" w:ascii="仿宋_GB2312" w:hAnsi="Times New Roman" w:eastAsia="仿宋_GB2312" w:cs="Times New Roman"/>
          <w:sz w:val="32"/>
          <w:szCs w:val="32"/>
          <w:highlight w:val="none"/>
          <w:lang w:eastAsia="zh-CN"/>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pStyle w:val="6"/>
        <w:numPr>
          <w:ilvl w:val="0"/>
          <w:numId w:val="0"/>
        </w:numPr>
        <w:snapToGrid w:val="0"/>
        <w:spacing w:line="560" w:lineRule="exact"/>
        <w:ind w:left="420" w:leftChars="200" w:firstLine="320" w:firstLineChars="100"/>
        <w:jc w:val="left"/>
        <w:rPr>
          <w:rFonts w:hint="eastAsia" w:ascii="仿宋_GB2312" w:hAnsi="Times New Roman" w:eastAsia="仿宋_GB2312" w:cs="Times New Roman"/>
          <w:b w:val="0"/>
          <w:sz w:val="32"/>
          <w:szCs w:val="32"/>
          <w:highlight w:val="none"/>
        </w:rPr>
      </w:pPr>
      <w:r>
        <w:rPr>
          <w:rFonts w:hint="eastAsia" w:ascii="仿宋_GB2312" w:hAnsi="Times New Roman" w:eastAsia="仿宋_GB2312" w:cs="Times New Roman"/>
          <w:sz w:val="32"/>
          <w:szCs w:val="32"/>
          <w:highlight w:val="none"/>
        </w:rPr>
        <w:t>申请人存在下列情形之一的，不予资助：</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（一）不符合相关法律法规、专项资金管理办法、专项资金操作规程有关要求的；</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（二）经查询深圳市信用网，依法依规被纳入严重失信主体名单的；</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）所申请项目已经获得市级同类资助或者奖励的；</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四</w:t>
      </w:r>
      <w:r>
        <w:rPr>
          <w:rFonts w:hint="eastAsia" w:ascii="仿宋_GB2312" w:hAnsi="Times New Roman" w:eastAsia="仿宋_GB2312" w:cs="Times New Roman"/>
          <w:sz w:val="32"/>
          <w:szCs w:val="32"/>
          <w:highlight w:val="none"/>
        </w:rPr>
        <w:t>）申请人主体已经消亡，或者进入破产清算程序的。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sz w:val="32"/>
          <w:szCs w:val="32"/>
        </w:rPr>
      </w:pPr>
      <w:r>
        <w:rPr>
          <w:rFonts w:hint="eastAsia" w:ascii="黑体" w:hAnsi="黑体" w:eastAsia="黑体" w:cs="黑体"/>
          <w:sz w:val="32"/>
          <w:szCs w:val="32"/>
        </w:rPr>
        <w:t>申请材料</w:t>
      </w:r>
    </w:p>
    <w:p>
      <w:pPr>
        <w:pStyle w:val="6"/>
        <w:numPr>
          <w:ilvl w:val="0"/>
          <w:numId w:val="3"/>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申请表</w:t>
      </w:r>
    </w:p>
    <w:p>
      <w:pPr>
        <w:pStyle w:val="6"/>
        <w:numPr>
          <w:ilvl w:val="0"/>
          <w:numId w:val="0"/>
        </w:numPr>
        <w:snapToGrid w:val="0"/>
        <w:spacing w:line="560" w:lineRule="exact"/>
        <w:ind w:left="420" w:leftChars="200" w:firstLine="320" w:firstLineChars="100"/>
        <w:jc w:val="left"/>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sz w:val="32"/>
          <w:szCs w:val="32"/>
          <w:highlight w:val="none"/>
        </w:rPr>
        <w:t>在申报系统上在线填写项目申报信息</w:t>
      </w:r>
    </w:p>
    <w:p>
      <w:pPr>
        <w:pStyle w:val="6"/>
        <w:numPr>
          <w:ilvl w:val="0"/>
          <w:numId w:val="3"/>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申请人主体资格材料</w:t>
      </w:r>
    </w:p>
    <w:p>
      <w:pPr>
        <w:numPr>
          <w:ilvl w:val="0"/>
          <w:numId w:val="0"/>
        </w:numPr>
        <w:snapToGrid/>
        <w:spacing w:line="240" w:lineRule="auto"/>
        <w:ind w:left="0" w:leftChars="0" w:firstLine="642" w:firstLineChars="0"/>
        <w:jc w:val="left"/>
        <w:rPr>
          <w:rFonts w:hint="eastAsia" w:ascii="仿宋_GB2312" w:hAnsi="Calibri" w:eastAsia="仿宋_GB2312" w:cs="Times New Roman"/>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申请人</w:t>
      </w:r>
      <w:r>
        <w:rPr>
          <w:rFonts w:hint="default" w:ascii="仿宋_GB2312" w:eastAsia="仿宋_GB2312"/>
          <w:sz w:val="32"/>
          <w:szCs w:val="32"/>
          <w:highlight w:val="none"/>
        </w:rPr>
        <w:t>应当在</w:t>
      </w:r>
      <w:r>
        <w:rPr>
          <w:rFonts w:hint="eastAsia" w:ascii="仿宋_GB2312" w:hAnsi="仿宋_GB2312" w:eastAsia="仿宋_GB2312" w:cs="仿宋_GB2312"/>
          <w:sz w:val="32"/>
          <w:szCs w:val="32"/>
          <w:highlight w:val="none"/>
        </w:rPr>
        <w:t>深圳市从事生产经营活动，</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在深圳市拥有稳定办公场所</w:t>
      </w:r>
      <w:r>
        <w:rPr>
          <w:rFonts w:hint="default" w:ascii="仿宋_GB2312" w:hAnsi="仿宋_GB2312" w:eastAsia="仿宋_GB2312" w:cs="仿宋_GB2312"/>
          <w:sz w:val="32"/>
          <w:szCs w:val="32"/>
          <w:highlight w:val="none"/>
        </w:rPr>
        <w:t>。</w:t>
      </w:r>
      <w:r>
        <w:rPr>
          <w:rFonts w:hint="eastAsia" w:ascii="仿宋_GB2312" w:eastAsia="仿宋_GB2312"/>
          <w:sz w:val="32"/>
          <w:szCs w:val="32"/>
          <w:highlight w:val="none"/>
        </w:rPr>
        <w:t>根据单位性质提交事业单位法人证书等</w:t>
      </w:r>
      <w:r>
        <w:rPr>
          <w:rFonts w:hint="eastAsia" w:ascii="仿宋_GB2312" w:hAnsi="Calibri" w:eastAsia="仿宋_GB2312" w:cs="Times New Roman"/>
          <w:sz w:val="32"/>
          <w:szCs w:val="32"/>
          <w:highlight w:val="none"/>
        </w:rPr>
        <w:t>主体资格材料</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企业申请人无须提交营业执照</w:t>
      </w:r>
      <w:r>
        <w:rPr>
          <w:rFonts w:hint="eastAsia" w:ascii="仿宋_GB2312" w:hAnsi="Calibri" w:eastAsia="仿宋_GB2312" w:cs="Times New Roman"/>
          <w:sz w:val="32"/>
          <w:szCs w:val="32"/>
          <w:highlight w:val="none"/>
          <w:lang w:eastAsia="zh-CN"/>
        </w:rPr>
        <w:t>；</w:t>
      </w:r>
    </w:p>
    <w:p>
      <w:pPr>
        <w:numPr>
          <w:ilvl w:val="0"/>
          <w:numId w:val="0"/>
        </w:numPr>
        <w:snapToGrid/>
        <w:spacing w:line="240" w:lineRule="auto"/>
        <w:ind w:left="0" w:leftChars="0" w:firstLine="642" w:firstLineChars="0"/>
        <w:jc w:val="left"/>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sz w:val="32"/>
          <w:szCs w:val="32"/>
          <w:highlight w:val="none"/>
          <w:lang w:eastAsia="zh-CN"/>
        </w:rPr>
        <w:t>2</w:t>
      </w:r>
      <w:r>
        <w:rPr>
          <w:rFonts w:hint="eastAsia" w:ascii="仿宋_GB2312" w:hAnsi="Calibri" w:eastAsia="仿宋_GB2312" w:cs="Times New Roman"/>
          <w:sz w:val="32"/>
          <w:szCs w:val="32"/>
          <w:highlight w:val="none"/>
          <w:lang w:val="en-US" w:eastAsia="zh-CN"/>
        </w:rPr>
        <w:t>.</w:t>
      </w:r>
      <w:r>
        <w:rPr>
          <w:rFonts w:hint="eastAsia" w:ascii="仿宋_GB2312" w:hAnsi="Calibri" w:eastAsia="仿宋_GB2312" w:cs="Times New Roman"/>
          <w:sz w:val="32"/>
          <w:szCs w:val="32"/>
          <w:highlight w:val="none"/>
        </w:rPr>
        <w:t>申请人自行申报的或者委托代办机构申报的，需提交《申报项目委托情况申明》（参照系统模</w:t>
      </w:r>
      <w:r>
        <w:rPr>
          <w:rFonts w:hint="eastAsia" w:ascii="仿宋_GB2312" w:hAnsi="Calibri" w:eastAsia="仿宋_GB2312" w:cs="Times New Roman"/>
          <w:color w:val="auto"/>
          <w:sz w:val="32"/>
          <w:szCs w:val="32"/>
          <w:highlight w:val="none"/>
        </w:rPr>
        <w:t>板）及经办人相关资料。</w:t>
      </w:r>
    </w:p>
    <w:p>
      <w:pPr>
        <w:pStyle w:val="6"/>
        <w:numPr>
          <w:ilvl w:val="0"/>
          <w:numId w:val="3"/>
        </w:numPr>
        <w:snapToGrid w:val="0"/>
        <w:spacing w:line="560" w:lineRule="exact"/>
        <w:ind w:left="0" w:firstLine="643"/>
        <w:jc w:val="left"/>
        <w:rPr>
          <w:rFonts w:hint="eastAsia" w:ascii="楷体" w:hAnsi="楷体" w:eastAsia="楷体" w:cs="楷体"/>
          <w:b/>
          <w:bCs/>
          <w:sz w:val="32"/>
          <w:szCs w:val="32"/>
          <w:lang w:eastAsia="zh-CN"/>
        </w:rPr>
      </w:pPr>
      <w:r>
        <w:rPr>
          <w:rFonts w:hint="eastAsia" w:ascii="楷体" w:hAnsi="楷体" w:eastAsia="楷体" w:cs="楷体"/>
          <w:b/>
          <w:bCs/>
          <w:sz w:val="32"/>
          <w:szCs w:val="32"/>
        </w:rPr>
        <w:t>申请人</w:t>
      </w:r>
      <w:r>
        <w:rPr>
          <w:rFonts w:hint="eastAsia" w:ascii="楷体" w:hAnsi="楷体" w:eastAsia="楷体" w:cs="楷体"/>
          <w:b/>
          <w:bCs/>
          <w:sz w:val="32"/>
          <w:szCs w:val="32"/>
          <w:lang w:val="en-US" w:eastAsia="zh-CN"/>
        </w:rPr>
        <w:t>2022</w:t>
      </w:r>
      <w:r>
        <w:rPr>
          <w:rFonts w:hint="eastAsia" w:ascii="楷体" w:hAnsi="楷体" w:eastAsia="楷体" w:cs="楷体"/>
          <w:b/>
          <w:bCs/>
          <w:sz w:val="32"/>
          <w:szCs w:val="32"/>
        </w:rPr>
        <w:t>年度为深圳市企事业单位、其他机构或个人提供</w:t>
      </w:r>
      <w:r>
        <w:rPr>
          <w:rFonts w:hint="eastAsia" w:ascii="楷体" w:hAnsi="楷体" w:eastAsia="楷体" w:cs="楷体"/>
          <w:b/>
          <w:bCs/>
          <w:sz w:val="32"/>
          <w:szCs w:val="32"/>
          <w:lang w:eastAsia="zh-CN"/>
        </w:rPr>
        <w:t>的</w:t>
      </w:r>
      <w:r>
        <w:rPr>
          <w:rFonts w:hint="eastAsia" w:ascii="楷体" w:hAnsi="楷体" w:eastAsia="楷体" w:cs="楷体"/>
          <w:b/>
          <w:bCs/>
          <w:sz w:val="32"/>
          <w:szCs w:val="32"/>
        </w:rPr>
        <w:t>知识产权服务清单</w:t>
      </w:r>
    </w:p>
    <w:p>
      <w:pPr>
        <w:numPr>
          <w:ilvl w:val="0"/>
          <w:numId w:val="0"/>
        </w:numPr>
        <w:snapToGrid/>
        <w:spacing w:line="240" w:lineRule="auto"/>
        <w:ind w:firstLine="642" w:firstLineChars="0"/>
        <w:jc w:val="left"/>
        <w:rPr>
          <w:rFonts w:hint="default" w:ascii="仿宋_GB2312" w:hAnsi="Calibri" w:eastAsia="仿宋_GB2312" w:cs="Times New Roman"/>
          <w:color w:val="auto"/>
          <w:sz w:val="32"/>
          <w:szCs w:val="32"/>
          <w:highlight w:val="none"/>
          <w:u w:val="none"/>
        </w:rPr>
      </w:pPr>
      <w:r>
        <w:rPr>
          <w:rFonts w:hint="eastAsia" w:ascii="仿宋_GB2312" w:hAnsi="Calibri" w:eastAsia="仿宋_GB2312" w:cs="Times New Roman"/>
          <w:sz w:val="32"/>
          <w:szCs w:val="32"/>
          <w:highlight w:val="none"/>
          <w:lang w:eastAsia="zh-CN"/>
        </w:rPr>
        <w:t>提交</w:t>
      </w:r>
      <w:r>
        <w:rPr>
          <w:rFonts w:hint="eastAsia" w:ascii="仿宋_GB2312" w:hAnsi="Calibri" w:eastAsia="仿宋_GB2312" w:cs="Times New Roman"/>
          <w:sz w:val="32"/>
          <w:szCs w:val="32"/>
          <w:highlight w:val="none"/>
          <w:lang w:val="en-US" w:eastAsia="zh-CN"/>
        </w:rPr>
        <w:t>2022年度</w:t>
      </w:r>
      <w:r>
        <w:rPr>
          <w:rFonts w:hint="eastAsia" w:ascii="仿宋_GB2312" w:hAnsi="Calibri" w:eastAsia="仿宋_GB2312" w:cs="Times New Roman"/>
          <w:sz w:val="32"/>
          <w:szCs w:val="32"/>
          <w:highlight w:val="none"/>
          <w:lang w:eastAsia="zh-CN"/>
        </w:rPr>
        <w:t>知识产权服务清单</w:t>
      </w:r>
      <w:r>
        <w:rPr>
          <w:rFonts w:hint="eastAsia" w:ascii="仿宋_GB2312" w:hAnsi="Calibri" w:eastAsia="仿宋_GB2312" w:cs="Times New Roman"/>
          <w:sz w:val="32"/>
          <w:szCs w:val="32"/>
          <w:highlight w:val="none"/>
          <w:lang w:val="en-US" w:eastAsia="zh-CN"/>
        </w:rPr>
        <w:t>（系统模板）</w:t>
      </w:r>
      <w:r>
        <w:rPr>
          <w:rFonts w:hint="eastAsia" w:ascii="仿宋_GB2312" w:hAnsi="Calibri" w:eastAsia="仿宋_GB2312" w:cs="Times New Roman"/>
          <w:sz w:val="32"/>
          <w:szCs w:val="32"/>
          <w:highlight w:val="none"/>
        </w:rPr>
        <w:t>，</w:t>
      </w:r>
      <w:r>
        <w:rPr>
          <w:rFonts w:hint="eastAsia" w:ascii="仿宋_GB2312" w:hAnsi="Calibri" w:eastAsia="仿宋_GB2312" w:cs="Times New Roman"/>
          <w:color w:val="auto"/>
          <w:sz w:val="32"/>
          <w:szCs w:val="32"/>
          <w:highlight w:val="none"/>
          <w:u w:val="none"/>
        </w:rPr>
        <w:t>并提供</w:t>
      </w:r>
      <w:r>
        <w:rPr>
          <w:rFonts w:hint="eastAsia" w:ascii="仿宋_GB2312" w:hAnsi="Calibri" w:eastAsia="仿宋_GB2312" w:cs="Times New Roman"/>
          <w:color w:val="auto"/>
          <w:sz w:val="32"/>
          <w:szCs w:val="32"/>
          <w:highlight w:val="none"/>
          <w:u w:val="none"/>
          <w:lang w:val="en-US" w:eastAsia="zh-CN"/>
        </w:rPr>
        <w:t>清单</w:t>
      </w:r>
      <w:r>
        <w:rPr>
          <w:rFonts w:hint="eastAsia" w:ascii="仿宋_GB2312" w:hAnsi="Calibri" w:eastAsia="仿宋_GB2312" w:cs="Times New Roman"/>
          <w:color w:val="auto"/>
          <w:sz w:val="32"/>
          <w:szCs w:val="32"/>
          <w:highlight w:val="none"/>
          <w:u w:val="none"/>
        </w:rPr>
        <w:t>对应的知识产权服务</w:t>
      </w:r>
      <w:r>
        <w:rPr>
          <w:rFonts w:hint="eastAsia" w:ascii="仿宋_GB2312" w:hAnsi="Calibri" w:eastAsia="仿宋_GB2312" w:cs="Times New Roman"/>
          <w:color w:val="auto"/>
          <w:sz w:val="32"/>
          <w:szCs w:val="32"/>
          <w:highlight w:val="none"/>
          <w:u w:val="none"/>
          <w:lang w:eastAsia="zh-CN"/>
        </w:rPr>
        <w:t>佐证</w:t>
      </w:r>
      <w:r>
        <w:rPr>
          <w:rFonts w:hint="eastAsia" w:ascii="仿宋_GB2312" w:hAnsi="Calibri" w:eastAsia="仿宋_GB2312" w:cs="Times New Roman"/>
          <w:color w:val="auto"/>
          <w:sz w:val="32"/>
          <w:szCs w:val="32"/>
          <w:highlight w:val="none"/>
          <w:u w:val="none"/>
        </w:rPr>
        <w:t>材料</w:t>
      </w:r>
      <w:r>
        <w:rPr>
          <w:rFonts w:hint="default" w:ascii="仿宋_GB2312" w:hAnsi="Calibri" w:eastAsia="仿宋_GB2312" w:cs="Times New Roman"/>
          <w:color w:val="auto"/>
          <w:sz w:val="32"/>
          <w:szCs w:val="32"/>
          <w:highlight w:val="none"/>
          <w:u w:val="none"/>
        </w:rPr>
        <w:t>（如</w:t>
      </w:r>
      <w:r>
        <w:rPr>
          <w:rFonts w:hint="eastAsia" w:ascii="仿宋_GB2312" w:hAnsi="Calibri" w:eastAsia="仿宋_GB2312" w:cs="Times New Roman"/>
          <w:color w:val="auto"/>
          <w:sz w:val="32"/>
          <w:szCs w:val="32"/>
          <w:highlight w:val="none"/>
          <w:u w:val="none"/>
        </w:rPr>
        <w:t>委托合同、相关业务官方文件等</w:t>
      </w:r>
      <w:r>
        <w:rPr>
          <w:rFonts w:hint="default" w:ascii="仿宋_GB2312" w:hAnsi="Calibri" w:eastAsia="仿宋_GB2312" w:cs="Times New Roman"/>
          <w:sz w:val="32"/>
          <w:szCs w:val="32"/>
          <w:highlight w:val="none"/>
        </w:rPr>
        <w:t>）。</w:t>
      </w:r>
    </w:p>
    <w:p>
      <w:pPr>
        <w:pStyle w:val="6"/>
        <w:numPr>
          <w:ilvl w:val="0"/>
          <w:numId w:val="3"/>
        </w:numPr>
        <w:snapToGrid w:val="0"/>
        <w:spacing w:line="560" w:lineRule="exact"/>
        <w:ind w:left="0" w:firstLine="643"/>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专业工作人员清单、社保相关材料及相应的资质材料</w:t>
      </w:r>
    </w:p>
    <w:p>
      <w:pPr>
        <w:numPr>
          <w:ilvl w:val="0"/>
          <w:numId w:val="0"/>
        </w:numPr>
        <w:snapToGrid/>
        <w:spacing w:line="240" w:lineRule="auto"/>
        <w:ind w:firstLine="642" w:firstLineChars="0"/>
        <w:jc w:val="left"/>
        <w:rPr>
          <w:rFonts w:hint="eastAsia" w:ascii="仿宋_GB2312" w:hAnsi="Calibri" w:eastAsia="仿宋_GB2312" w:cs="Times New Roman"/>
          <w:b w:val="0"/>
          <w:bCs w:val="0"/>
          <w:sz w:val="32"/>
          <w:szCs w:val="32"/>
          <w:highlight w:val="none"/>
        </w:rPr>
      </w:pPr>
      <w:r>
        <w:rPr>
          <w:rFonts w:hint="eastAsia" w:ascii="仿宋_GB2312" w:hAnsi="Calibri" w:eastAsia="仿宋_GB2312" w:cs="Times New Roman"/>
          <w:color w:val="auto"/>
          <w:sz w:val="32"/>
          <w:szCs w:val="32"/>
          <w:highlight w:val="none"/>
          <w:lang w:eastAsia="zh-CN"/>
        </w:rPr>
        <w:t>提交专业工作</w:t>
      </w:r>
      <w:r>
        <w:rPr>
          <w:rFonts w:hint="eastAsia" w:ascii="仿宋_GB2312" w:hAnsi="Calibri" w:eastAsia="仿宋_GB2312" w:cs="Times New Roman"/>
          <w:color w:val="auto"/>
          <w:sz w:val="32"/>
          <w:szCs w:val="32"/>
          <w:highlight w:val="none"/>
        </w:rPr>
        <w:t>人员清单</w:t>
      </w:r>
      <w:r>
        <w:rPr>
          <w:rFonts w:hint="eastAsia" w:ascii="仿宋_GB2312" w:hAnsi="Calibri" w:eastAsia="仿宋_GB2312" w:cs="Times New Roman"/>
          <w:color w:val="auto"/>
          <w:sz w:val="32"/>
          <w:szCs w:val="32"/>
          <w:highlight w:val="none"/>
          <w:lang w:eastAsia="zh-CN"/>
        </w:rPr>
        <w:t>（系统模板）</w:t>
      </w:r>
      <w:r>
        <w:rPr>
          <w:rFonts w:hint="eastAsia" w:ascii="仿宋_GB2312" w:hAnsi="Calibri" w:eastAsia="仿宋_GB2312" w:cs="Times New Roman"/>
          <w:sz w:val="32"/>
          <w:szCs w:val="32"/>
          <w:highlight w:val="none"/>
          <w:lang w:eastAsia="zh-CN"/>
        </w:rPr>
        <w:t>及</w:t>
      </w:r>
      <w:r>
        <w:rPr>
          <w:rFonts w:hint="eastAsia" w:ascii="仿宋_GB2312" w:hAnsi="Calibri" w:eastAsia="仿宋_GB2312" w:cs="Times New Roman"/>
          <w:sz w:val="32"/>
          <w:szCs w:val="32"/>
          <w:highlight w:val="none"/>
        </w:rPr>
        <w:t>提供</w:t>
      </w:r>
      <w:r>
        <w:rPr>
          <w:rFonts w:hint="eastAsia" w:ascii="仿宋_GB2312" w:hAnsi="Calibri" w:eastAsia="仿宋_GB2312" w:cs="Times New Roman"/>
          <w:sz w:val="32"/>
          <w:szCs w:val="32"/>
          <w:highlight w:val="none"/>
          <w:lang w:val="en-US" w:eastAsia="zh-CN"/>
        </w:rPr>
        <w:t>对应</w:t>
      </w:r>
      <w:r>
        <w:rPr>
          <w:rFonts w:hint="eastAsia" w:ascii="仿宋_GB2312" w:hAnsi="Calibri" w:eastAsia="仿宋_GB2312" w:cs="Times New Roman"/>
          <w:sz w:val="32"/>
          <w:szCs w:val="32"/>
          <w:highlight w:val="none"/>
        </w:rPr>
        <w:t>人员的执业资格</w:t>
      </w:r>
      <w:r>
        <w:rPr>
          <w:rFonts w:hint="eastAsia" w:ascii="仿宋_GB2312" w:hAnsi="Calibri" w:eastAsia="仿宋_GB2312" w:cs="Times New Roman"/>
          <w:sz w:val="32"/>
          <w:szCs w:val="32"/>
          <w:highlight w:val="none"/>
          <w:lang w:eastAsia="zh-CN"/>
        </w:rPr>
        <w:t>佐证材料</w:t>
      </w:r>
      <w:r>
        <w:rPr>
          <w:rFonts w:hint="eastAsia" w:ascii="仿宋_GB2312" w:hAnsi="Calibri" w:eastAsia="仿宋_GB2312" w:cs="Times New Roman"/>
          <w:sz w:val="32"/>
          <w:szCs w:val="32"/>
          <w:highlight w:val="none"/>
        </w:rPr>
        <w:t>、近3个月（2023年1月-2023年3月）社保缴纳费用明细表（明细表中要能清晰展示社保缴纳单位的全称）。</w:t>
      </w:r>
    </w:p>
    <w:p>
      <w:pPr>
        <w:pStyle w:val="6"/>
        <w:numPr>
          <w:ilvl w:val="0"/>
          <w:numId w:val="3"/>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知识产权业务相关材料，包括但不限于运营合同、诉讼判决文书、无效复审决定、知识产权服务合同、代理授权专利清单、发明专利代理授权率相关资料等</w:t>
      </w:r>
    </w:p>
    <w:p>
      <w:pPr>
        <w:numPr>
          <w:ilvl w:val="0"/>
          <w:numId w:val="0"/>
        </w:numPr>
        <w:snapToGrid w:val="0"/>
        <w:spacing w:line="560" w:lineRule="exact"/>
        <w:ind w:firstLine="642"/>
        <w:jc w:val="left"/>
        <w:rPr>
          <w:rFonts w:hint="eastAsia" w:ascii="仿宋_GB2312" w:hAnsi="Calibri" w:eastAsia="仿宋_GB2312" w:cs="Times New Roman"/>
          <w:color w:val="000000"/>
          <w:sz w:val="32"/>
          <w:szCs w:val="32"/>
          <w:highlight w:val="none"/>
          <w:lang w:eastAsia="zh-CN"/>
        </w:rPr>
      </w:pPr>
      <w:r>
        <w:rPr>
          <w:rFonts w:hint="eastAsia" w:ascii="仿宋_GB2312" w:hAnsi="Calibri" w:eastAsia="仿宋_GB2312" w:cs="Times New Roman"/>
          <w:color w:val="000000"/>
          <w:sz w:val="32"/>
          <w:szCs w:val="32"/>
          <w:highlight w:val="none"/>
        </w:rPr>
        <w:t>1</w:t>
      </w:r>
      <w:r>
        <w:rPr>
          <w:rFonts w:hint="eastAsia" w:ascii="仿宋_GB2312" w:hAnsi="Calibri" w:eastAsia="仿宋_GB2312" w:cs="Times New Roman"/>
          <w:color w:val="000000"/>
          <w:sz w:val="32"/>
          <w:szCs w:val="32"/>
          <w:highlight w:val="none"/>
          <w:lang w:eastAsia="zh-CN"/>
        </w:rPr>
        <w:t>.</w:t>
      </w:r>
      <w:r>
        <w:rPr>
          <w:rFonts w:hint="default" w:ascii="仿宋_GB2312" w:hAnsi="Calibri" w:eastAsia="仿宋_GB2312" w:cs="Times New Roman"/>
          <w:color w:val="000000"/>
          <w:sz w:val="32"/>
          <w:szCs w:val="32"/>
          <w:highlight w:val="none"/>
        </w:rPr>
        <w:t>可</w:t>
      </w:r>
      <w:r>
        <w:rPr>
          <w:rFonts w:hint="eastAsia" w:ascii="仿宋_GB2312" w:hAnsi="Calibri" w:eastAsia="仿宋_GB2312" w:cs="Times New Roman"/>
          <w:color w:val="000000"/>
          <w:sz w:val="32"/>
          <w:szCs w:val="32"/>
          <w:highlight w:val="none"/>
        </w:rPr>
        <w:t>提供</w:t>
      </w:r>
      <w:r>
        <w:rPr>
          <w:rFonts w:hint="eastAsia" w:ascii="仿宋_GB2312" w:hAnsi="Calibri" w:eastAsia="仿宋_GB2312" w:cs="Times New Roman"/>
          <w:color w:val="000000"/>
          <w:sz w:val="32"/>
          <w:szCs w:val="32"/>
          <w:highlight w:val="none"/>
          <w:lang w:val="en-US" w:eastAsia="zh-CN"/>
        </w:rPr>
        <w:t>2022</w:t>
      </w:r>
      <w:r>
        <w:rPr>
          <w:rFonts w:hint="eastAsia" w:ascii="仿宋_GB2312" w:hAnsi="Calibri" w:eastAsia="仿宋_GB2312" w:cs="Times New Roman"/>
          <w:color w:val="000000"/>
          <w:sz w:val="32"/>
          <w:szCs w:val="32"/>
          <w:highlight w:val="none"/>
        </w:rPr>
        <w:t>年度</w:t>
      </w:r>
      <w:r>
        <w:rPr>
          <w:rFonts w:hint="eastAsia" w:ascii="仿宋_GB2312" w:hAnsi="Calibri" w:eastAsia="仿宋_GB2312" w:cs="Times New Roman"/>
          <w:color w:val="000000"/>
          <w:sz w:val="32"/>
          <w:szCs w:val="32"/>
          <w:highlight w:val="none"/>
          <w:lang w:eastAsia="zh-CN"/>
        </w:rPr>
        <w:t>代理的知识产权许可转让、</w:t>
      </w:r>
      <w:r>
        <w:rPr>
          <w:rFonts w:hint="eastAsia" w:ascii="仿宋_GB2312" w:hAnsi="Calibri" w:eastAsia="仿宋_GB2312" w:cs="Times New Roman"/>
          <w:color w:val="000000"/>
          <w:sz w:val="32"/>
          <w:szCs w:val="32"/>
          <w:highlight w:val="none"/>
        </w:rPr>
        <w:t>运营合同</w:t>
      </w:r>
      <w:r>
        <w:rPr>
          <w:rFonts w:hint="eastAsia" w:ascii="仿宋_GB2312" w:hAnsi="Calibri" w:eastAsia="仿宋_GB2312" w:cs="Times New Roman"/>
          <w:color w:val="000000"/>
          <w:sz w:val="32"/>
          <w:szCs w:val="32"/>
          <w:highlight w:val="none"/>
          <w:lang w:eastAsia="zh-CN"/>
        </w:rPr>
        <w:t>、</w:t>
      </w:r>
      <w:r>
        <w:rPr>
          <w:rFonts w:hint="eastAsia" w:ascii="仿宋_GB2312" w:hAnsi="Calibri" w:eastAsia="仿宋_GB2312" w:cs="Times New Roman"/>
          <w:color w:val="000000"/>
          <w:sz w:val="32"/>
          <w:szCs w:val="32"/>
          <w:highlight w:val="none"/>
        </w:rPr>
        <w:t>无效宣告请求审查决定书、专利复审决定等业务成功案例</w:t>
      </w:r>
      <w:r>
        <w:rPr>
          <w:rFonts w:hint="eastAsia" w:ascii="仿宋_GB2312" w:hAnsi="Calibri" w:eastAsia="仿宋_GB2312" w:cs="Times New Roman"/>
          <w:color w:val="000000"/>
          <w:sz w:val="32"/>
          <w:szCs w:val="32"/>
          <w:highlight w:val="none"/>
          <w:lang w:eastAsia="zh-CN"/>
        </w:rPr>
        <w:t>佐证材料</w:t>
      </w:r>
      <w:r>
        <w:rPr>
          <w:rFonts w:hint="eastAsia" w:ascii="仿宋_GB2312" w:hAnsi="Calibri" w:eastAsia="仿宋_GB2312" w:cs="Times New Roman"/>
          <w:color w:val="000000"/>
          <w:sz w:val="32"/>
          <w:szCs w:val="32"/>
          <w:highlight w:val="none"/>
          <w:lang w:val="en-US" w:eastAsia="zh-CN"/>
        </w:rPr>
        <w:t>5</w:t>
      </w:r>
      <w:r>
        <w:rPr>
          <w:rFonts w:hint="eastAsia" w:ascii="仿宋_GB2312" w:hAnsi="Calibri" w:eastAsia="仿宋_GB2312" w:cs="Times New Roman"/>
          <w:color w:val="000000"/>
          <w:sz w:val="32"/>
          <w:szCs w:val="32"/>
          <w:highlight w:val="none"/>
        </w:rPr>
        <w:t>项以上</w:t>
      </w:r>
      <w:r>
        <w:rPr>
          <w:rFonts w:hint="eastAsia" w:ascii="仿宋_GB2312" w:hAnsi="Calibri" w:eastAsia="仿宋_GB2312" w:cs="Times New Roman"/>
          <w:color w:val="auto"/>
          <w:sz w:val="32"/>
          <w:szCs w:val="32"/>
          <w:highlight w:val="none"/>
          <w:u w:val="none"/>
          <w:lang w:eastAsia="zh-CN"/>
        </w:rPr>
        <w:t>；</w:t>
      </w:r>
    </w:p>
    <w:p>
      <w:pPr>
        <w:numPr>
          <w:ilvl w:val="0"/>
          <w:numId w:val="0"/>
        </w:numPr>
        <w:snapToGrid w:val="0"/>
        <w:spacing w:line="560" w:lineRule="exact"/>
        <w:ind w:firstLine="642"/>
        <w:jc w:val="left"/>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000000"/>
          <w:sz w:val="32"/>
          <w:szCs w:val="32"/>
          <w:highlight w:val="none"/>
        </w:rPr>
        <w:t>2</w:t>
      </w:r>
      <w:r>
        <w:rPr>
          <w:rFonts w:hint="eastAsia" w:ascii="仿宋_GB2312" w:hAnsi="Calibri" w:eastAsia="仿宋_GB2312" w:cs="Times New Roman"/>
          <w:color w:val="000000"/>
          <w:sz w:val="32"/>
          <w:szCs w:val="32"/>
          <w:highlight w:val="none"/>
          <w:lang w:eastAsia="zh-CN"/>
        </w:rPr>
        <w:t>.</w:t>
      </w:r>
      <w:r>
        <w:rPr>
          <w:rFonts w:hint="default" w:ascii="仿宋_GB2312" w:hAnsi="Calibri" w:eastAsia="仿宋_GB2312" w:cs="Times New Roman"/>
          <w:color w:val="000000"/>
          <w:sz w:val="32"/>
          <w:szCs w:val="32"/>
          <w:highlight w:val="none"/>
        </w:rPr>
        <w:t>可</w:t>
      </w:r>
      <w:r>
        <w:rPr>
          <w:rFonts w:hint="eastAsia" w:ascii="仿宋_GB2312" w:hAnsi="Calibri" w:eastAsia="仿宋_GB2312" w:cs="Times New Roman"/>
          <w:color w:val="000000"/>
          <w:sz w:val="32"/>
          <w:szCs w:val="32"/>
          <w:highlight w:val="none"/>
        </w:rPr>
        <w:t>提供202</w:t>
      </w:r>
      <w:r>
        <w:rPr>
          <w:rFonts w:hint="eastAsia" w:ascii="仿宋_GB2312" w:hAnsi="Calibri" w:eastAsia="仿宋_GB2312" w:cs="Times New Roman"/>
          <w:color w:val="000000"/>
          <w:sz w:val="32"/>
          <w:szCs w:val="32"/>
          <w:highlight w:val="none"/>
          <w:lang w:val="en-US" w:eastAsia="zh-CN"/>
        </w:rPr>
        <w:t>2</w:t>
      </w:r>
      <w:r>
        <w:rPr>
          <w:rFonts w:hint="eastAsia" w:ascii="仿宋_GB2312" w:hAnsi="Calibri" w:eastAsia="仿宋_GB2312" w:cs="Times New Roman"/>
          <w:color w:val="000000"/>
          <w:sz w:val="32"/>
          <w:szCs w:val="32"/>
          <w:highlight w:val="none"/>
        </w:rPr>
        <w:t>年度代理知识产权诉讼</w:t>
      </w:r>
      <w:r>
        <w:rPr>
          <w:rFonts w:hint="eastAsia" w:ascii="仿宋_GB2312" w:hAnsi="Calibri" w:eastAsia="仿宋_GB2312" w:cs="Times New Roman"/>
          <w:color w:val="auto"/>
          <w:sz w:val="32"/>
          <w:szCs w:val="32"/>
          <w:highlight w:val="none"/>
        </w:rPr>
        <w:t>案件的诉讼判决文书、调解文书</w:t>
      </w:r>
      <w:r>
        <w:rPr>
          <w:rFonts w:hint="eastAsia" w:ascii="仿宋_GB2312" w:hAnsi="Calibri" w:eastAsia="仿宋_GB2312" w:cs="Times New Roman"/>
          <w:color w:val="000000"/>
          <w:sz w:val="32"/>
          <w:szCs w:val="32"/>
          <w:highlight w:val="none"/>
          <w:lang w:eastAsia="zh-CN"/>
        </w:rPr>
        <w:t>佐证材料</w:t>
      </w:r>
      <w:r>
        <w:rPr>
          <w:rFonts w:hint="eastAsia" w:ascii="仿宋_GB2312" w:hAnsi="Calibri" w:eastAsia="仿宋_GB2312" w:cs="Times New Roman"/>
          <w:color w:val="auto"/>
          <w:sz w:val="32"/>
          <w:szCs w:val="32"/>
          <w:highlight w:val="none"/>
        </w:rPr>
        <w:t>，结案数量</w:t>
      </w:r>
      <w:r>
        <w:rPr>
          <w:rFonts w:hint="eastAsia" w:ascii="仿宋_GB2312" w:hAnsi="Calibri" w:eastAsia="仿宋_GB2312" w:cs="Times New Roman"/>
          <w:color w:val="auto"/>
          <w:sz w:val="32"/>
          <w:szCs w:val="32"/>
          <w:highlight w:val="none"/>
          <w:lang w:val="en-US" w:eastAsia="zh-CN"/>
        </w:rPr>
        <w:t>5</w:t>
      </w:r>
      <w:r>
        <w:rPr>
          <w:rFonts w:hint="eastAsia" w:ascii="仿宋_GB2312" w:hAnsi="Calibri" w:eastAsia="仿宋_GB2312" w:cs="Times New Roman"/>
          <w:color w:val="auto"/>
          <w:sz w:val="32"/>
          <w:szCs w:val="32"/>
          <w:highlight w:val="none"/>
        </w:rPr>
        <w:t>件以上</w:t>
      </w:r>
      <w:r>
        <w:rPr>
          <w:rFonts w:hint="eastAsia" w:ascii="仿宋_GB2312" w:hAnsi="Calibri" w:eastAsia="仿宋_GB2312" w:cs="Times New Roman"/>
          <w:color w:val="auto"/>
          <w:sz w:val="32"/>
          <w:szCs w:val="32"/>
          <w:highlight w:val="none"/>
          <w:u w:val="none"/>
          <w:lang w:eastAsia="zh-CN"/>
        </w:rPr>
        <w:t>；</w:t>
      </w:r>
    </w:p>
    <w:p>
      <w:pPr>
        <w:numPr>
          <w:ilvl w:val="0"/>
          <w:numId w:val="0"/>
        </w:numPr>
        <w:snapToGrid w:val="0"/>
        <w:spacing w:line="560" w:lineRule="exact"/>
        <w:ind w:firstLine="642"/>
        <w:jc w:val="left"/>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rPr>
        <w:t>3</w:t>
      </w:r>
      <w:r>
        <w:rPr>
          <w:rFonts w:hint="eastAsia" w:ascii="仿宋_GB2312" w:hAnsi="Calibri" w:eastAsia="仿宋_GB2312" w:cs="Times New Roman"/>
          <w:color w:val="auto"/>
          <w:sz w:val="32"/>
          <w:szCs w:val="32"/>
          <w:highlight w:val="none"/>
          <w:lang w:eastAsia="zh-CN"/>
        </w:rPr>
        <w:t>.</w:t>
      </w:r>
      <w:r>
        <w:rPr>
          <w:rFonts w:hint="default" w:ascii="仿宋_GB2312" w:hAnsi="Calibri" w:eastAsia="仿宋_GB2312" w:cs="Times New Roman"/>
          <w:sz w:val="32"/>
          <w:szCs w:val="32"/>
          <w:lang w:eastAsia="zh-CN"/>
        </w:rPr>
        <w:t>可</w:t>
      </w:r>
      <w:r>
        <w:rPr>
          <w:rFonts w:hint="eastAsia" w:ascii="仿宋_GB2312" w:hAnsi="Calibri" w:eastAsia="仿宋_GB2312" w:cs="Times New Roman"/>
          <w:sz w:val="32"/>
          <w:szCs w:val="32"/>
          <w:lang w:val="en-US" w:eastAsia="zh-CN"/>
        </w:rPr>
        <w:t>提供已为2家及以上世界500强企业</w:t>
      </w:r>
      <w:r>
        <w:rPr>
          <w:rFonts w:hint="default" w:ascii="仿宋_GB2312" w:hAnsi="Calibri" w:eastAsia="仿宋_GB2312" w:cs="Times New Roman"/>
          <w:sz w:val="32"/>
          <w:szCs w:val="32"/>
          <w:lang w:eastAsia="zh-CN"/>
        </w:rPr>
        <w:t>开展</w:t>
      </w:r>
      <w:r>
        <w:rPr>
          <w:rFonts w:hint="eastAsia" w:ascii="仿宋_GB2312" w:hAnsi="Calibri" w:eastAsia="仿宋_GB2312" w:cs="Times New Roman"/>
          <w:sz w:val="32"/>
          <w:szCs w:val="32"/>
          <w:lang w:val="en-US" w:eastAsia="zh-CN"/>
        </w:rPr>
        <w:t>知识产权服务业务</w:t>
      </w:r>
      <w:r>
        <w:rPr>
          <w:rFonts w:hint="eastAsia" w:ascii="仿宋_GB2312" w:hAnsi="Calibri" w:eastAsia="仿宋_GB2312" w:cs="Times New Roman"/>
          <w:color w:val="000000"/>
          <w:sz w:val="32"/>
          <w:szCs w:val="32"/>
          <w:highlight w:val="none"/>
          <w:lang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color w:val="auto"/>
          <w:sz w:val="32"/>
          <w:szCs w:val="32"/>
          <w:highlight w:val="none"/>
          <w:u w:val="none"/>
          <w:lang w:eastAsia="zh-CN"/>
        </w:rPr>
        <w:t>；</w:t>
      </w:r>
    </w:p>
    <w:p>
      <w:pPr>
        <w:numPr>
          <w:ilvl w:val="0"/>
          <w:numId w:val="0"/>
        </w:numPr>
        <w:snapToGrid w:val="0"/>
        <w:spacing w:line="560" w:lineRule="exact"/>
        <w:ind w:firstLine="640" w:firstLineChars="200"/>
        <w:jc w:val="left"/>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sz w:val="32"/>
          <w:szCs w:val="32"/>
          <w:highlight w:val="none"/>
        </w:rPr>
        <w:t>4.</w:t>
      </w:r>
      <w:r>
        <w:rPr>
          <w:rFonts w:hint="default" w:ascii="仿宋_GB2312" w:hAnsi="Calibri" w:eastAsia="仿宋_GB2312" w:cs="Times New Roman"/>
          <w:sz w:val="32"/>
          <w:szCs w:val="32"/>
          <w:highlight w:val="none"/>
        </w:rPr>
        <w:t>可提供</w:t>
      </w:r>
      <w:r>
        <w:rPr>
          <w:rFonts w:hint="eastAsia" w:ascii="仿宋_GB2312" w:hAnsi="Calibri" w:eastAsia="仿宋_GB2312" w:cs="Times New Roman"/>
          <w:sz w:val="32"/>
          <w:szCs w:val="32"/>
          <w:highlight w:val="none"/>
        </w:rPr>
        <w:t>202</w:t>
      </w:r>
      <w:r>
        <w:rPr>
          <w:rFonts w:hint="eastAsia" w:ascii="仿宋_GB2312" w:hAnsi="Calibri" w:eastAsia="仿宋_GB2312" w:cs="Times New Roman"/>
          <w:sz w:val="32"/>
          <w:szCs w:val="32"/>
          <w:highlight w:val="none"/>
          <w:lang w:val="en-US" w:eastAsia="zh-CN"/>
        </w:rPr>
        <w:t>2</w:t>
      </w:r>
      <w:r>
        <w:rPr>
          <w:rFonts w:hint="eastAsia" w:ascii="仿宋_GB2312" w:hAnsi="Calibri" w:eastAsia="仿宋_GB2312" w:cs="Times New Roman"/>
          <w:sz w:val="32"/>
          <w:szCs w:val="32"/>
          <w:highlight w:val="none"/>
        </w:rPr>
        <w:t>年度</w:t>
      </w:r>
      <w:r>
        <w:rPr>
          <w:rFonts w:hint="default" w:ascii="仿宋_GB2312" w:hAnsi="Calibri" w:eastAsia="仿宋_GB2312" w:cs="Times New Roman"/>
          <w:sz w:val="32"/>
          <w:szCs w:val="32"/>
          <w:highlight w:val="none"/>
        </w:rPr>
        <w:t>代理的境内</w:t>
      </w:r>
      <w:r>
        <w:rPr>
          <w:rFonts w:hint="eastAsia" w:ascii="仿宋_GB2312" w:hAnsi="Calibri" w:eastAsia="仿宋_GB2312" w:cs="Times New Roman"/>
          <w:sz w:val="32"/>
          <w:szCs w:val="32"/>
          <w:highlight w:val="none"/>
        </w:rPr>
        <w:t>发明专利授权量</w:t>
      </w:r>
      <w:r>
        <w:rPr>
          <w:rFonts w:hint="default" w:ascii="仿宋_GB2312" w:hAnsi="Calibri" w:eastAsia="仿宋_GB2312" w:cs="Times New Roman"/>
          <w:sz w:val="32"/>
          <w:szCs w:val="32"/>
          <w:highlight w:val="none"/>
        </w:rPr>
        <w:t>达</w:t>
      </w:r>
      <w:r>
        <w:rPr>
          <w:rFonts w:hint="eastAsia" w:ascii="仿宋_GB2312" w:hAnsi="Calibri" w:eastAsia="仿宋_GB2312" w:cs="Times New Roman"/>
          <w:sz w:val="32"/>
          <w:szCs w:val="32"/>
          <w:highlight w:val="none"/>
          <w:lang w:val="en-US" w:eastAsia="zh-CN"/>
        </w:rPr>
        <w:t>100</w:t>
      </w:r>
      <w:r>
        <w:rPr>
          <w:rFonts w:hint="eastAsia" w:ascii="仿宋_GB2312" w:hAnsi="Calibri" w:eastAsia="仿宋_GB2312" w:cs="Times New Roman"/>
          <w:sz w:val="32"/>
          <w:szCs w:val="32"/>
          <w:highlight w:val="none"/>
        </w:rPr>
        <w:t>件以上</w:t>
      </w:r>
      <w:r>
        <w:rPr>
          <w:rFonts w:hint="eastAsia" w:ascii="仿宋_GB2312" w:hAnsi="Calibri" w:eastAsia="仿宋_GB2312" w:cs="Times New Roman"/>
          <w:sz w:val="32"/>
          <w:szCs w:val="32"/>
          <w:highlight w:val="none"/>
          <w:lang w:eastAsia="zh-CN"/>
        </w:rPr>
        <w:t>清单</w:t>
      </w:r>
      <w:r>
        <w:rPr>
          <w:rFonts w:hint="default" w:ascii="仿宋_GB2312" w:hAnsi="Calibri" w:eastAsia="仿宋_GB2312" w:cs="Times New Roman"/>
          <w:sz w:val="32"/>
          <w:szCs w:val="32"/>
          <w:highlight w:val="none"/>
          <w:lang w:eastAsia="zh-CN"/>
        </w:rPr>
        <w:t>（系统模板）及相关佐证材料；</w:t>
      </w:r>
    </w:p>
    <w:p>
      <w:pPr>
        <w:numPr>
          <w:ilvl w:val="0"/>
          <w:numId w:val="0"/>
        </w:numPr>
        <w:snapToGrid w:val="0"/>
        <w:spacing w:line="560" w:lineRule="exact"/>
        <w:ind w:firstLine="640" w:firstLineChars="200"/>
        <w:jc w:val="left"/>
        <w:rPr>
          <w:rFonts w:hint="eastAsia" w:ascii="仿宋_GB2312" w:hAnsi="Calibri" w:eastAsia="仿宋_GB2312" w:cs="Times New Roman"/>
          <w:b w:val="0"/>
          <w:kern w:val="2"/>
          <w:sz w:val="32"/>
          <w:szCs w:val="32"/>
          <w:highlight w:val="none"/>
          <w:lang w:val="en-US" w:eastAsia="zh-CN" w:bidi="ar-SA"/>
        </w:rPr>
      </w:pPr>
      <w:r>
        <w:rPr>
          <w:rFonts w:hint="eastAsia" w:ascii="仿宋_GB2312" w:hAnsi="Calibri" w:eastAsia="仿宋_GB2312" w:cs="Times New Roman"/>
          <w:b w:val="0"/>
          <w:kern w:val="2"/>
          <w:sz w:val="32"/>
          <w:szCs w:val="32"/>
          <w:highlight w:val="none"/>
          <w:lang w:val="en-US" w:eastAsia="zh-CN" w:bidi="ar-SA"/>
        </w:rPr>
        <w:t>2022年度发明专利代理授权率不低于60%的</w:t>
      </w:r>
      <w:r>
        <w:rPr>
          <w:rFonts w:hint="eastAsia" w:ascii="仿宋_GB2312" w:hAnsi="Calibri" w:eastAsia="仿宋_GB2312" w:cs="Times New Roman"/>
          <w:color w:val="000000"/>
          <w:sz w:val="32"/>
          <w:szCs w:val="32"/>
          <w:highlight w:val="none"/>
          <w:lang w:eastAsia="zh-CN"/>
        </w:rPr>
        <w:t>佐证材料</w:t>
      </w:r>
      <w:r>
        <w:rPr>
          <w:rFonts w:hint="eastAsia" w:ascii="仿宋_GB2312" w:hAnsi="Calibri" w:eastAsia="仿宋_GB2312" w:cs="Times New Roman"/>
          <w:color w:val="auto"/>
          <w:sz w:val="32"/>
          <w:szCs w:val="32"/>
          <w:highlight w:val="none"/>
          <w:u w:val="none"/>
          <w:lang w:eastAsia="zh-CN"/>
        </w:rPr>
        <w:t>。</w:t>
      </w:r>
    </w:p>
    <w:p>
      <w:pPr>
        <w:pStyle w:val="6"/>
        <w:numPr>
          <w:ilvl w:val="0"/>
          <w:numId w:val="3"/>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2022年度经营状况良好，产生了较好的经济效益的相关材料</w:t>
      </w:r>
    </w:p>
    <w:p>
      <w:pPr>
        <w:numPr>
          <w:ilvl w:val="0"/>
          <w:numId w:val="0"/>
        </w:numPr>
        <w:snapToGrid w:val="0"/>
        <w:spacing w:line="560" w:lineRule="exact"/>
        <w:ind w:firstLine="640" w:firstLineChars="200"/>
        <w:jc w:val="left"/>
        <w:rPr>
          <w:rFonts w:hint="default"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提交</w:t>
      </w:r>
      <w:r>
        <w:rPr>
          <w:rFonts w:hint="eastAsia" w:ascii="仿宋_GB2312" w:hAnsi="Calibri" w:eastAsia="仿宋_GB2312" w:cs="Times New Roman"/>
          <w:color w:val="auto"/>
          <w:sz w:val="32"/>
          <w:szCs w:val="32"/>
          <w:highlight w:val="none"/>
          <w:lang w:val="en-US" w:eastAsia="zh-CN"/>
        </w:rPr>
        <w:t>2022年年</w:t>
      </w:r>
      <w:r>
        <w:rPr>
          <w:rFonts w:hint="eastAsia" w:ascii="仿宋_GB2312" w:hAnsi="Calibri" w:eastAsia="仿宋_GB2312" w:cs="Times New Roman"/>
          <w:color w:val="auto"/>
          <w:sz w:val="32"/>
          <w:szCs w:val="32"/>
          <w:highlight w:val="none"/>
          <w:lang w:eastAsia="zh-CN"/>
        </w:rPr>
        <w:t>度财务</w:t>
      </w:r>
      <w:r>
        <w:rPr>
          <w:rFonts w:hint="eastAsia" w:ascii="仿宋_GB2312" w:hAnsi="Calibri" w:eastAsia="仿宋_GB2312" w:cs="Times New Roman"/>
          <w:color w:val="auto"/>
          <w:sz w:val="32"/>
          <w:szCs w:val="32"/>
          <w:highlight w:val="none"/>
        </w:rPr>
        <w:t>审计报告</w:t>
      </w:r>
      <w:r>
        <w:rPr>
          <w:rFonts w:hint="eastAsia" w:ascii="仿宋_GB2312" w:hAnsi="Calibri" w:eastAsia="仿宋_GB2312" w:cs="Times New Roman"/>
          <w:color w:val="auto"/>
          <w:sz w:val="32"/>
          <w:szCs w:val="32"/>
          <w:highlight w:val="none"/>
          <w:lang w:eastAsia="zh-CN"/>
        </w:rPr>
        <w:t>或财务报表</w:t>
      </w:r>
      <w:r>
        <w:rPr>
          <w:rFonts w:hint="default" w:ascii="仿宋_GB2312" w:hAnsi="Calibri" w:eastAsia="仿宋_GB2312" w:cs="Times New Roman"/>
          <w:color w:val="auto"/>
          <w:sz w:val="32"/>
          <w:szCs w:val="32"/>
          <w:highlight w:val="none"/>
          <w:lang w:eastAsia="zh-CN"/>
        </w:rPr>
        <w:t>。</w:t>
      </w:r>
    </w:p>
    <w:p>
      <w:pPr>
        <w:numPr>
          <w:ilvl w:val="0"/>
          <w:numId w:val="0"/>
        </w:numPr>
        <w:snapToGrid w:val="0"/>
        <w:spacing w:line="560" w:lineRule="exact"/>
        <w:ind w:firstLine="640" w:firstLineChars="200"/>
        <w:jc w:val="left"/>
        <w:rPr>
          <w:rFonts w:hint="eastAsia" w:ascii="仿宋_GB2312" w:hAnsi="Calibri" w:eastAsia="仿宋_GB2312" w:cs="Times New Roman"/>
          <w:b w:val="0"/>
          <w:bCs w:val="0"/>
          <w:sz w:val="32"/>
          <w:szCs w:val="32"/>
          <w:highlight w:val="none"/>
          <w:lang w:eastAsia="zh-CN"/>
        </w:rPr>
      </w:pPr>
      <w:r>
        <w:rPr>
          <w:rFonts w:hint="eastAsia" w:ascii="仿宋_GB2312" w:hAnsi="Calibri" w:eastAsia="仿宋_GB2312" w:cs="Times New Roman"/>
          <w:color w:val="auto"/>
          <w:sz w:val="32"/>
          <w:szCs w:val="32"/>
        </w:rPr>
        <w:t>以上第（一）至第（</w:t>
      </w:r>
      <w:r>
        <w:rPr>
          <w:rFonts w:hint="eastAsia" w:ascii="仿宋_GB2312" w:hAnsi="Calibri" w:eastAsia="仿宋_GB2312" w:cs="Times New Roman"/>
          <w:color w:val="auto"/>
          <w:sz w:val="32"/>
          <w:szCs w:val="32"/>
          <w:lang w:val="en-US" w:eastAsia="zh-CN"/>
        </w:rPr>
        <w:t>六</w:t>
      </w:r>
      <w:r>
        <w:rPr>
          <w:rFonts w:hint="eastAsia" w:ascii="仿宋_GB2312" w:hAnsi="Calibri" w:eastAsia="仿宋_GB2312" w:cs="Times New Roman"/>
          <w:color w:val="auto"/>
          <w:sz w:val="32"/>
          <w:szCs w:val="32"/>
        </w:rPr>
        <w:t>）项全部申请材料应当确保页面</w:t>
      </w:r>
      <w:r>
        <w:rPr>
          <w:rFonts w:hint="eastAsia" w:ascii="仿宋_GB2312" w:hAnsi="Calibri" w:eastAsia="仿宋_GB2312" w:cs="Times New Roman"/>
          <w:sz w:val="32"/>
          <w:szCs w:val="32"/>
        </w:rPr>
        <w:t>文字、公章、签名等实质性内容清晰可辨，各页面主要内容均为正向，不可横置或倒置。</w:t>
      </w:r>
    </w:p>
    <w:p>
      <w:pPr>
        <w:pStyle w:val="6"/>
        <w:numPr>
          <w:ilvl w:val="0"/>
          <w:numId w:val="1"/>
        </w:numPr>
        <w:snapToGrid w:val="0"/>
        <w:spacing w:line="560" w:lineRule="exact"/>
        <w:ind w:left="1361" w:firstLineChars="0"/>
        <w:rPr>
          <w:rFonts w:hint="eastAsia" w:ascii="仿宋_GB2312" w:hAnsi="Calibri" w:eastAsia="仿宋_GB2312" w:cs="Times New Roman"/>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2" w:firstLineChars="200"/>
        <w:jc w:val="left"/>
        <w:rPr>
          <w:rFonts w:hint="eastAsia" w:ascii="楷体" w:hAnsi="楷体" w:eastAsia="楷体" w:cs="楷体"/>
          <w:sz w:val="32"/>
          <w:szCs w:val="32"/>
        </w:rPr>
      </w:pPr>
      <w:r>
        <w:rPr>
          <w:rFonts w:hint="eastAsia" w:ascii="楷体" w:hAnsi="楷体" w:eastAsia="楷体" w:cs="楷体"/>
          <w:b/>
          <w:bCs/>
          <w:sz w:val="32"/>
          <w:szCs w:val="32"/>
        </w:rPr>
        <w:t>（一）受理机关</w:t>
      </w:r>
      <w:r>
        <w:rPr>
          <w:rFonts w:hint="eastAsia" w:ascii="楷体" w:hAnsi="楷体" w:eastAsia="楷体" w:cs="楷体"/>
          <w:sz w:val="32"/>
          <w:szCs w:val="32"/>
        </w:rPr>
        <w:t>：</w:t>
      </w:r>
      <w:r>
        <w:rPr>
          <w:rFonts w:hint="eastAsia" w:ascii="仿宋_GB2312" w:hAnsi="Calibri" w:eastAsia="仿宋_GB2312" w:cs="Times New Roman"/>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 w:hAnsi="楷体" w:eastAsia="楷体" w:cs="楷体"/>
          <w:b/>
          <w:bCs/>
          <w:sz w:val="32"/>
          <w:szCs w:val="32"/>
        </w:rPr>
        <w:t>（二）受理时间</w:t>
      </w:r>
      <w:r>
        <w:rPr>
          <w:rFonts w:hint="eastAsia" w:ascii="楷体" w:hAnsi="楷体" w:eastAsia="楷体" w:cs="楷体"/>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（三）申报方式</w:t>
      </w:r>
    </w:p>
    <w:p>
      <w:pPr>
        <w:numPr>
          <w:ilvl w:val="0"/>
          <w:numId w:val="0"/>
        </w:numPr>
        <w:snapToGrid/>
        <w:spacing w:line="240" w:lineRule="auto"/>
        <w:ind w:firstLine="642" w:firstLineChars="0"/>
        <w:jc w:val="left"/>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kern w:val="2"/>
          <w:sz w:val="32"/>
          <w:szCs w:val="32"/>
        </w:rPr>
        <w:t xml:space="preserve">本次资助实行网上在线申报，申报系统网址为： </w:t>
      </w:r>
      <w:r>
        <w:rPr>
          <w:rFonts w:hint="eastAsia" w:ascii="仿宋_GB2312" w:hAnsi="Calibri" w:eastAsia="仿宋_GB2312" w:cs="Times New Roman"/>
          <w:color w:val="auto"/>
          <w:kern w:val="2"/>
          <w:sz w:val="32"/>
          <w:szCs w:val="32"/>
          <w:highlight w:val="none"/>
        </w:rPr>
        <w:t>https://amr.sz.gov.cn/mrasgas/sfc-company/#/apply/check-info?itemId=MB2C927393442125181001440300</w:t>
      </w:r>
      <w:r>
        <w:rPr>
          <w:rFonts w:hint="eastAsia" w:ascii="仿宋_GB2312" w:hAnsi="Calibri" w:eastAsia="仿宋_GB2312" w:cs="Times New Roman"/>
          <w:color w:val="auto"/>
          <w:kern w:val="2"/>
          <w:sz w:val="32"/>
          <w:szCs w:val="32"/>
        </w:rPr>
        <w:t>，</w:t>
      </w:r>
      <w:r>
        <w:rPr>
          <w:rFonts w:hint="eastAsia" w:ascii="仿宋_GB2312" w:hAnsi="Calibri" w:eastAsia="仿宋_GB2312" w:cs="Times New Roman"/>
          <w:color w:val="auto"/>
          <w:sz w:val="32"/>
          <w:szCs w:val="32"/>
        </w:rPr>
        <w:t>建议</w:t>
      </w:r>
      <w:r>
        <w:rPr>
          <w:rFonts w:hint="eastAsia" w:ascii="仿宋_GB2312" w:hAnsi="Calibri" w:eastAsia="仿宋_GB2312" w:cs="Times New Roman"/>
          <w:sz w:val="32"/>
          <w:szCs w:val="32"/>
        </w:rPr>
        <w:t>使用360（极速模式）、火狐等浏览器软件</w:t>
      </w:r>
      <w:r>
        <w:rPr>
          <w:rFonts w:hint="eastAsia" w:ascii="仿宋_GB2312" w:hAnsi="Calibri" w:eastAsia="仿宋_GB2312" w:cs="Times New Roman"/>
          <w:kern w:val="2"/>
          <w:sz w:val="32"/>
          <w:szCs w:val="32"/>
        </w:rPr>
        <w:t>。</w:t>
      </w:r>
    </w:p>
    <w:p>
      <w:pPr>
        <w:numPr>
          <w:ilvl w:val="0"/>
          <w:numId w:val="0"/>
        </w:numPr>
        <w:snapToGrid/>
        <w:spacing w:line="240" w:lineRule="auto"/>
        <w:ind w:firstLine="642" w:firstLineChars="0"/>
        <w:jc w:val="left"/>
        <w:rPr>
          <w:rFonts w:hint="eastAsia" w:ascii="仿宋_GB2312" w:hAnsi="Calibri" w:eastAsia="仿宋_GB2312" w:cs="Times New Roman"/>
          <w:color w:val="auto"/>
          <w:kern w:val="2"/>
          <w:sz w:val="32"/>
          <w:szCs w:val="32"/>
        </w:rPr>
      </w:pPr>
      <w:r>
        <w:rPr>
          <w:rFonts w:hint="eastAsia" w:ascii="仿宋_GB2312" w:hAnsi="Calibri" w:eastAsia="仿宋_GB2312" w:cs="Times New Roman"/>
          <w:sz w:val="32"/>
          <w:szCs w:val="32"/>
        </w:rPr>
        <w:t>登录申报系统后，选择办理情形</w:t>
      </w:r>
      <w:r>
        <w:rPr>
          <w:rFonts w:hint="eastAsia" w:ascii="仿宋_GB2312" w:hAnsi="Calibri" w:eastAsia="仿宋_GB2312" w:cs="Times New Roman"/>
          <w:color w:val="auto"/>
          <w:sz w:val="32"/>
          <w:szCs w:val="32"/>
        </w:rPr>
        <w:t>“知识产权服务机构能力提升奖励</w:t>
      </w:r>
      <w:r>
        <w:rPr>
          <w:rFonts w:hint="eastAsia" w:ascii="仿宋_GB2312" w:hAnsi="Calibri" w:eastAsia="仿宋_GB2312" w:cs="Times New Roman"/>
          <w:bCs w:val="0"/>
          <w:color w:val="auto"/>
          <w:sz w:val="32"/>
          <w:szCs w:val="32"/>
        </w:rPr>
        <w:t>项目</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”，阅读并勾选同意《广东省网上办事大厅服务条款》内容，点击“下一步”进入申报；或者登录广东政务</w:t>
      </w:r>
      <w:r>
        <w:rPr>
          <w:rFonts w:hint="eastAsia" w:ascii="仿宋_GB2312" w:hAnsi="Calibri" w:eastAsia="仿宋_GB2312" w:cs="Times New Roman"/>
          <w:color w:val="auto"/>
          <w:sz w:val="32"/>
          <w:szCs w:val="32"/>
          <w:lang w:eastAsia="zh-CN"/>
        </w:rPr>
        <w:t>服务</w:t>
      </w:r>
      <w:r>
        <w:rPr>
          <w:rFonts w:hint="eastAsia" w:ascii="仿宋_GB2312" w:hAnsi="Calibri" w:eastAsia="仿宋_GB2312" w:cs="Times New Roman"/>
          <w:color w:val="auto"/>
          <w:sz w:val="32"/>
          <w:szCs w:val="32"/>
        </w:rPr>
        <w:t>网，在“切换区域”和“部门”分别选择“深圳市”和“市场监督管理局”，点击“公共服务”，找到</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知识产权服务机构能力提升奖励</w:t>
      </w:r>
      <w:r>
        <w:rPr>
          <w:rFonts w:hint="eastAsia" w:ascii="仿宋_GB2312" w:hAnsi="Calibri" w:eastAsia="仿宋_GB2312" w:cs="Times New Roman"/>
          <w:bCs w:val="0"/>
          <w:color w:val="auto"/>
          <w:sz w:val="32"/>
          <w:szCs w:val="32"/>
        </w:rPr>
        <w:t>项目</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，或者直接搜索</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知识产权服务机构能力提升奖励</w:t>
      </w:r>
      <w:r>
        <w:rPr>
          <w:rFonts w:hint="eastAsia" w:ascii="仿宋_GB2312" w:hAnsi="Calibri" w:eastAsia="仿宋_GB2312" w:cs="Times New Roman"/>
          <w:bCs w:val="0"/>
          <w:color w:val="auto"/>
          <w:sz w:val="32"/>
          <w:szCs w:val="32"/>
        </w:rPr>
        <w:t>项目</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，选中后进入申报页面。</w:t>
      </w:r>
      <w:r>
        <w:rPr>
          <w:rFonts w:hint="eastAsia" w:ascii="仿宋_GB2312" w:hAnsi="Calibri" w:eastAsia="仿宋_GB2312" w:cs="Times New Roman"/>
          <w:color w:val="auto"/>
          <w:kern w:val="2"/>
          <w:sz w:val="32"/>
          <w:szCs w:val="32"/>
        </w:rPr>
        <w:t>将本指南第六条要求的全部申请材料按照申报系统中的有关提示要求分别上传。</w:t>
      </w:r>
    </w:p>
    <w:p>
      <w:pPr>
        <w:numPr>
          <w:ilvl w:val="0"/>
          <w:numId w:val="0"/>
        </w:numPr>
        <w:snapToGrid/>
        <w:spacing w:line="240" w:lineRule="auto"/>
        <w:ind w:firstLine="642" w:firstLineChars="0"/>
        <w:jc w:val="both"/>
        <w:rPr>
          <w:rFonts w:hint="eastAsia" w:ascii="仿宋_GB2312" w:hAnsi="Calibri" w:eastAsia="仿宋_GB2312" w:cs="Times New Roman"/>
          <w:sz w:val="32"/>
          <w:szCs w:val="32"/>
        </w:rPr>
      </w:pPr>
      <w:r>
        <w:rPr>
          <w:rFonts w:hint="eastAsia" w:ascii="仿宋_GB2312" w:hAnsi="Calibri" w:eastAsia="仿宋_GB2312" w:cs="Times New Roman"/>
          <w:color w:val="auto"/>
          <w:sz w:val="32"/>
          <w:szCs w:val="32"/>
        </w:rPr>
        <w:t>申报系统技术支持电话：0755-23602720。申报业务咨询电话：0755-83070173、0755-83070752。办公时间：</w:t>
      </w:r>
      <w:r>
        <w:rPr>
          <w:rFonts w:hint="eastAsia" w:ascii="仿宋_GB2312" w:hAnsi="Calibri" w:eastAsia="仿宋_GB2312" w:cs="Times New Roman"/>
          <w:color w:val="auto"/>
          <w:kern w:val="2"/>
          <w:sz w:val="32"/>
          <w:szCs w:val="32"/>
        </w:rPr>
        <w:t>星期一至星期五（法定节假日除外）上午09:00-12:00，下</w:t>
      </w:r>
      <w:r>
        <w:rPr>
          <w:rFonts w:hint="eastAsia" w:ascii="仿宋_GB2312" w:hAnsi="Calibri" w:eastAsia="仿宋_GB2312" w:cs="Times New Roman"/>
          <w:kern w:val="2"/>
          <w:sz w:val="32"/>
          <w:szCs w:val="32"/>
        </w:rPr>
        <w:t>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（一）办理程序</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eastAsia" w:ascii="仿宋_GB2312" w:hAnsi="Calibri" w:eastAsia="仿宋_GB2312" w:cs="Times New Roman"/>
          <w:sz w:val="32"/>
          <w:szCs w:val="32"/>
        </w:rPr>
        <w:t>）——</w:t>
      </w:r>
      <w:r>
        <w:rPr>
          <w:rFonts w:hint="default" w:ascii="仿宋_GB2312" w:eastAsia="仿宋_GB2312"/>
          <w:sz w:val="32"/>
        </w:rPr>
        <w:t>会同</w:t>
      </w:r>
      <w:r>
        <w:rPr>
          <w:rFonts w:hint="eastAsia" w:ascii="仿宋_GB2312" w:hAnsi="Calibri" w:eastAsia="仿宋_GB2312" w:cs="Times New Roman"/>
          <w:sz w:val="32"/>
          <w:szCs w:val="32"/>
        </w:rPr>
        <w:t>相关部门核对数据、核查诚信情况</w:t>
      </w:r>
      <w:r>
        <w:rPr>
          <w:rFonts w:hint="default" w:ascii="仿宋_GB2312" w:eastAsia="仿宋_GB2312"/>
          <w:sz w:val="32"/>
        </w:rPr>
        <w:t>和重复资助情况</w:t>
      </w:r>
      <w:r>
        <w:rPr>
          <w:rFonts w:hint="eastAsia" w:ascii="仿宋_GB2312" w:hAnsi="Calibri" w:eastAsia="仿宋_GB2312" w:cs="Times New Roman"/>
          <w:sz w:val="32"/>
          <w:szCs w:val="32"/>
        </w:rPr>
        <w:t>——集体研究决策——公示（5个工作日）——财政资金预算申请——资金拨付。</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（二）注意事项</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rPr>
      </w:pPr>
      <w:r>
        <w:rPr>
          <w:rFonts w:hint="eastAsia" w:ascii="仿宋_GB2312" w:hAnsi="Calibri" w:eastAsia="仿宋_GB2312" w:cs="Times New Roman"/>
          <w:b w:val="0"/>
          <w:sz w:val="32"/>
          <w:szCs w:val="32"/>
        </w:rPr>
        <w:t>1．严格按照申报系统有关提示进行填报。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spacing w:line="240" w:lineRule="auto"/>
        <w:ind w:firstLine="642" w:firstLineChars="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2</w:t>
      </w:r>
      <w:r>
        <w:rPr>
          <w:rFonts w:hint="eastAsia" w:ascii="仿宋_GB2312" w:hAnsi="Calibri" w:eastAsia="仿宋_GB2312" w:cs="Times New Roman"/>
          <w:b w:val="0"/>
          <w:sz w:val="32"/>
          <w:szCs w:val="32"/>
        </w:rPr>
        <w:t>．</w:t>
      </w:r>
      <w:r>
        <w:rPr>
          <w:rFonts w:hint="eastAsia" w:ascii="仿宋_GB2312" w:hAnsi="Calibri" w:eastAsia="仿宋_GB2312" w:cs="Times New Roman"/>
          <w:sz w:val="32"/>
          <w:szCs w:val="32"/>
          <w:lang w:eastAsia="zh-CN"/>
        </w:rPr>
        <w:t>深圳</w:t>
      </w:r>
      <w:r>
        <w:rPr>
          <w:rFonts w:hint="eastAsia" w:ascii="仿宋_GB2312" w:hAnsi="Calibri" w:eastAsia="仿宋_GB2312" w:cs="Times New Roman"/>
          <w:sz w:val="32"/>
          <w:szCs w:val="32"/>
        </w:rPr>
        <w:t>市知识产权主管部门对申请材料进行受理和初审，申请材料不完善</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，限期予以补正；申请人应按要求进行补正，未按要求补正材料或补正材料未通过审核的，不予资助或奖励</w:t>
      </w:r>
      <w:r>
        <w:rPr>
          <w:rFonts w:hint="eastAsia" w:ascii="仿宋_GB2312" w:hAnsi="Calibri" w:eastAsia="仿宋_GB2312" w:cs="Times New Roman"/>
          <w:sz w:val="32"/>
          <w:szCs w:val="32"/>
          <w:lang w:eastAsia="zh-CN"/>
        </w:rPr>
        <w:t>。</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申请人提交资助或奖励申请后，可通过申报系统自行查询办理进度状态，及时关注系统审批意见，根据系统提示信息及时办理有关手续。本资助申请事项不设短信、电话和邮件等形式的通知推送。</w:t>
      </w:r>
    </w:p>
    <w:p>
      <w:pPr>
        <w:numPr>
          <w:ilvl w:val="0"/>
          <w:numId w:val="0"/>
        </w:numPr>
        <w:snapToGrid/>
        <w:spacing w:line="240" w:lineRule="auto"/>
        <w:ind w:firstLine="642" w:firstLineChars="0"/>
        <w:jc w:val="left"/>
        <w:rPr>
          <w:rFonts w:hint="eastAsia" w:ascii="仿宋_GB2312" w:hAnsi="Calibri" w:eastAsia="仿宋_GB2312" w:cs="Times New Roman"/>
          <w:b w:val="0"/>
          <w:sz w:val="32"/>
          <w:szCs w:val="32"/>
        </w:rPr>
      </w:pP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本资助专项资金的发放时间将根据市财政预算具体规划而定，届时将另行通知办理领款手续，请按通知要求办理。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合规提示</w:t>
      </w:r>
    </w:p>
    <w:p>
      <w:pPr>
        <w:pStyle w:val="3"/>
        <w:numPr>
          <w:ilvl w:val="0"/>
          <w:numId w:val="4"/>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《深圳市市场监督管理局知识产权领域专项资金操作规程》第四十条规定：</w:t>
      </w:r>
      <w:r>
        <w:rPr>
          <w:rFonts w:hint="eastAsia" w:ascii="仿宋_GB2312" w:hAnsi="Calibri" w:eastAsia="仿宋_GB2312" w:cs="Times New Roman"/>
          <w:b w:val="0"/>
          <w:sz w:val="32"/>
          <w:szCs w:val="32"/>
          <w:highlight w:val="none"/>
        </w:rPr>
        <w:t>申请人应对提交的申请材料真实性、合法性、有效性负责。申请人利用虚假材料或</w:t>
      </w:r>
      <w:r>
        <w:rPr>
          <w:rFonts w:hint="eastAsia" w:ascii="仿宋_GB2312" w:hAnsi="Calibri" w:eastAsia="仿宋_GB2312" w:cs="Times New Roman"/>
          <w:b w:val="0"/>
          <w:sz w:val="32"/>
          <w:szCs w:val="32"/>
          <w:highlight w:val="none"/>
          <w:lang w:eastAsia="zh-CN"/>
        </w:rPr>
        <w:t>通过</w:t>
      </w:r>
      <w:r>
        <w:rPr>
          <w:rFonts w:hint="eastAsia" w:ascii="仿宋_GB2312" w:hAnsi="Calibri" w:eastAsia="仿宋_GB2312" w:cs="Times New Roman"/>
          <w:b w:val="0"/>
          <w:sz w:val="32"/>
          <w:szCs w:val="32"/>
          <w:highlight w:val="none"/>
        </w:rPr>
        <w:t>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不正当行为骗取、套取、虚报、冒领、截留、挪用专项资金或者违反其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财务纪律的，按照有关规定处理；情节严重的，依照国家相关法律、法规移交有关部门处理。</w:t>
      </w:r>
    </w:p>
    <w:p>
      <w:pPr>
        <w:pStyle w:val="3"/>
        <w:numPr>
          <w:ilvl w:val="0"/>
          <w:numId w:val="4"/>
        </w:numPr>
        <w:snapToGrid w:val="0"/>
        <w:spacing w:line="560" w:lineRule="exact"/>
        <w:ind w:firstLine="640" w:firstLineChars="200"/>
        <w:rPr>
          <w:rFonts w:hint="default" w:ascii="Times New Roman" w:hAnsi="Times New Roman" w:eastAsia="宋体" w:cs="Times New Roman"/>
          <w:b w:val="0"/>
          <w:sz w:val="21"/>
          <w:szCs w:val="24"/>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四</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一</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受委</w:t>
      </w:r>
      <w:r>
        <w:rPr>
          <w:rFonts w:hint="eastAsia" w:ascii="仿宋_GB2312" w:hAnsi="Calibri" w:eastAsia="仿宋_GB2312" w:cs="Times New Roman"/>
          <w:b w:val="0"/>
          <w:sz w:val="32"/>
          <w:szCs w:val="32"/>
        </w:rPr>
        <w:t>托的第三方审计机构或专业机构在审计或核验过程中，存在弄虚作假、隐瞒事实真相或与受资助单位串通作弊并出具相关报告</w:t>
      </w:r>
      <w:r>
        <w:rPr>
          <w:rFonts w:hint="eastAsia" w:ascii="仿宋_GB2312" w:hAnsi="Calibri" w:eastAsia="仿宋_GB2312" w:cs="Times New Roman"/>
          <w:b w:val="0"/>
          <w:sz w:val="32"/>
          <w:szCs w:val="32"/>
          <w:lang w:eastAsia="zh-CN"/>
        </w:rPr>
        <w:t>情形的</w:t>
      </w:r>
      <w:r>
        <w:rPr>
          <w:rFonts w:hint="eastAsia" w:ascii="仿宋_GB2312" w:hAnsi="Calibri" w:eastAsia="仿宋_GB2312" w:cs="Times New Roman"/>
          <w:b w:val="0"/>
          <w:sz w:val="32"/>
          <w:szCs w:val="32"/>
        </w:rPr>
        <w:t>，按照有关规定追究责任。</w:t>
      </w:r>
    </w:p>
    <w:p>
      <w:pPr>
        <w:pStyle w:val="3"/>
        <w:numPr>
          <w:ilvl w:val="0"/>
          <w:numId w:val="4"/>
        </w:numPr>
        <w:snapToGrid w:val="0"/>
        <w:spacing w:before="0" w:beforeAutospacing="0" w:after="0" w:afterAutospacing="0" w:line="560" w:lineRule="exact"/>
        <w:ind w:firstLine="640" w:firstLineChars="200"/>
        <w:jc w:val="both"/>
        <w:rPr>
          <w:rFonts w:hint="eastAsia" w:ascii="仿宋_GB2312" w:hAnsi="Calibri" w:eastAsia="仿宋_GB2312" w:cs="Times New Roman"/>
          <w:sz w:val="32"/>
          <w:szCs w:val="32"/>
        </w:rPr>
      </w:pPr>
      <w:r>
        <w:rPr>
          <w:rFonts w:ascii="仿宋_GB2312" w:hAnsi="Calibri" w:eastAsia="仿宋_GB2312" w:cs="Times New Roman"/>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numPr>
          <w:ilvl w:val="0"/>
          <w:numId w:val="0"/>
        </w:numPr>
        <w:adjustRightInd w:val="0"/>
        <w:snapToGrid w:val="0"/>
        <w:spacing w:line="56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无年审、年检。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2BA1FC"/>
    <w:multiLevelType w:val="singleLevel"/>
    <w:tmpl w:val="152BA1FC"/>
    <w:lvl w:ilvl="0" w:tentative="0">
      <w:start w:val="1"/>
      <w:numFmt w:val="chineseCounting"/>
      <w:suff w:val="nothing"/>
      <w:lvlText w:val="（%1）"/>
      <w:lvlJc w:val="left"/>
      <w:rPr>
        <w:rFonts w:hint="eastAsia"/>
      </w:rPr>
    </w:lvl>
  </w:abstractNum>
  <w:abstractNum w:abstractNumId="3">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AD7B808B"/>
    <w:rsid w:val="1F3A7D77"/>
    <w:rsid w:val="2B8B12B1"/>
    <w:rsid w:val="2F8422EC"/>
    <w:rsid w:val="6CDFE24D"/>
    <w:rsid w:val="AD7B8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2588</Words>
  <Characters>2846</Characters>
  <Lines>0</Lines>
  <Paragraphs>0</Paragraphs>
  <TotalTime>0</TotalTime>
  <ScaleCrop>false</ScaleCrop>
  <LinksUpToDate>false</LinksUpToDate>
  <CharactersWithSpaces>2848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2023-04-14T19:33:00Z</dcterms:created>
  <dc:creator>liuyt1</dc:creator>
  <cp:lastModifiedBy>WANGQW</cp:lastModifiedBy>
  <dcterms:modified xsi:type="dcterms:W3CDTF">2023-04-17T13:01:01Z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902A8F95F7584DB19A3C4B72A6411A09_12</vt:lpwstr>
  </property>
</Properties>
</file>