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44"/>
        </w:rPr>
        <w:t>附件</w:t>
      </w:r>
      <w:r>
        <w:rPr>
          <w:rFonts w:hint="default" w:ascii="仿宋_GB2312" w:hAnsi="方正小标宋简体" w:eastAsia="仿宋_GB2312" w:cs="方正小标宋简体"/>
          <w:sz w:val="32"/>
          <w:szCs w:val="44"/>
        </w:rPr>
        <w:t>6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2022年度龙岗区软件企业公共平台建设扶持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申请指南</w:t>
      </w:r>
    </w:p>
    <w:p>
      <w:pPr>
        <w:adjustRightInd w:val="0"/>
        <w:spacing w:line="540" w:lineRule="atLeast"/>
        <w:ind w:firstLine="722" w:firstLineChars="200"/>
        <w:rPr>
          <w:rFonts w:ascii="黑体" w:hAnsi="宋体" w:eastAsia="黑体" w:cs="AdobeHeitiStd-Regular"/>
          <w:b/>
          <w:kern w:val="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一、政策依据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&gt;的通知》（深龙工信规〔2023〕1号）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</w:rPr>
      </w:pPr>
      <w:r>
        <w:rPr>
          <w:rFonts w:eastAsia="黑体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扶持范围和标准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微软雅黑" w:hAnsi="微软雅黑" w:eastAsia="微软雅黑" w:cs="微软雅黑"/>
        </w:rPr>
      </w:pPr>
      <w:r>
        <w:rPr>
          <w:rFonts w:ascii="楷体_GB2312" w:hAnsi="楷体_GB2312" w:eastAsia="楷体_GB2312" w:cs="楷体_GB2312"/>
          <w:b/>
          <w:kern w:val="2"/>
          <w:sz w:val="32"/>
          <w:szCs w:val="32"/>
        </w:rPr>
        <w:t>（一）扶持范围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支持行业协会、企业等在龙岗区建立工业软件测试验证、工业数据共享、工业数字化咨询服务等领域相关公共平台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对年度获得国家或省级相关部门认定的公共平台所属单位予以扶持。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扶持方式和标准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对上年度获得国家相关部门认定的公共平台的所属单位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给予一次性奖励最高50万元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获得省级相关部门认定的公共平台的所属单位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给予一次性奖励最高20万元。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Arial" w:eastAsia="仿宋_GB2312" w:cs="Arial"/>
          <w:szCs w:val="32"/>
        </w:rPr>
      </w:pPr>
      <w:r>
        <w:rPr>
          <w:rFonts w:hint="eastAsia" w:hAnsi="楷体_GB2312" w:cs="楷体_GB2312"/>
          <w:b/>
          <w:szCs w:val="32"/>
        </w:rPr>
        <w:t>（三）审核方式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核准制，公共平台认定以国家或省级相关部门发布的文件或证书为准。同一企业若同时符合本条款项下两类标准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可同时申请上述两类奖励。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三、申报条件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在龙岗区；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（七）法律、法规、规章和上级行政机关规范性文件规定的其他条件。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四、申报材料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（一）申请表（</w:t>
      </w:r>
      <w:r>
        <w:rPr>
          <w:rFonts w:eastAsia="仿宋_GB2312"/>
          <w:sz w:val="32"/>
          <w:szCs w:val="32"/>
        </w:rPr>
        <w:t>登录</w:t>
      </w:r>
      <w:r>
        <w:rPr>
          <w:rFonts w:hint="eastAsia" w:eastAsia="仿宋_GB2312"/>
          <w:sz w:val="32"/>
          <w:szCs w:val="32"/>
          <w:lang w:eastAsia="zh-Hans"/>
        </w:rPr>
        <w:t>龙岗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服务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平台在线填写</w:t>
      </w:r>
      <w:r>
        <w:rPr>
          <w:rFonts w:hint="eastAsia" w:eastAsia="仿宋_GB2312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（二）营业执照；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上年度纳税证明</w:t>
      </w:r>
      <w:r>
        <w:rPr>
          <w:rFonts w:hint="eastAsia" w:eastAsia="仿宋_GB2312"/>
          <w:sz w:val="32"/>
          <w:szCs w:val="32"/>
        </w:rPr>
        <w:t>（2022年度）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（四）有效期内的软件企业证书和软件著作权证书；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国家或省级相关部门发布的文件或证书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（六）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公共平台所属关系证明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五、申报方式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ascii="仿宋_GB2312" w:hAnsi="仿宋_GB2312" w:eastAsia="仿宋_GB2312" w:cs="仿宋_GB2312"/>
          <w:sz w:val="32"/>
          <w:szCs w:val="32"/>
        </w:rPr>
        <w:t>按以下步骤进行申报：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（一）使用龙岗区企业服务信息平台生成申报书</w:t>
      </w:r>
    </w:p>
    <w:p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选择【“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龙岗区软件企业公共平台建设扶持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”扶持项目】进入申报。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组织线上审核等工作，请企业等待线上审核结果。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）在广东政务服务网进行项目申报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企业在广东政务服务网注册、登录；进入龙岗区工业和信息化局“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软件企业公共平台建设扶持项目”申报页面在线办理申请，上传并提交带水印的申报书，等待后台工作人员审核。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书面申报材料提交方式</w:t>
      </w:r>
    </w:p>
    <w:p>
      <w:pPr>
        <w:widowControl/>
        <w:spacing w:line="560" w:lineRule="exact"/>
        <w:ind w:firstLine="642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书面申报材料清单如下：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）；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书面材料受理窗口地址：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1.深圳市龙岗区行政服务大厅二楼综合窗口（深圳市龙岗区龙翔大道8033-1号，世贸百货斜对面）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2.深圳市龙岗区行政服务大厅天安云谷分中心（深圳市龙岗区坂田街道雪岗路2018号天安云谷1栋B座1楼、0755-89601111转政务服务）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3.深圳市龙岗区行政服务大厅大运软件小镇分中心（深圳市龙岗区龙岗大道8288号大运软件小镇17栋1楼0755-28229136）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4.深圳市龙岗区行政服务大厅中海信分中心（深圳市龙岗区吉华街道甘李二路中海信创新产业城19A栋2楼0755-33112166）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5.深圳市龙岗区行政服务大厅天安数码城分中心（深圳市龙岗区黄阁路天安数码城2栋A座1楼服务中心、0755-89312333）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6.深圳市龙岗区行政服务大厅宝龙分中心（深圳市龙岗区冬青路18号宝龙街道行政服务大厅1楼、0755-23255492）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7.深圳市龙岗区行政服务大厅启迪协信分中心（深圳市龙岗区大运新城青春路与飞扬路交叉口启迪协信产促中心1楼服务大厅、0755-28399039）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8.深圳市龙岗区行政服务大厅星河WORLD分中心（深圳市龙岗区坂田街道梅坂大道星河WORLD二期E栋1楼0755-23952233）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9.深圳市龙岗区行政服务大厅康利城分中心（深圳市龙岗区南湾街道平吉大道66号康利城2栋1楼、0755-28681209）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10.深圳市龙岗区行政服务大厅华南城分中心（深圳市龙岗区平湖街道富安大道1号华南城招商中心一楼、0755-28491235）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11.深圳市龙岗区行政服务大厅大运AI小镇分中心（深圳市龙岗区横岗街道信义路大运AI小镇B01栋小镇客厅一层、0755-89768806）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12.深圳市龙岗区行政服务大厅信息学院分中心（深圳市龙岗区龙城街道龙翔大道2188号深圳信息职业技术学院学生服务中心一楼、0755-89226767）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</w:rPr>
      </w:pPr>
      <w:r>
        <w:rPr>
          <w:rStyle w:val="10"/>
          <w:rFonts w:ascii="方正黑体_GBK" w:hAnsi="方正黑体_GBK" w:eastAsia="方正黑体_GBK" w:cs="方正黑体_GBK"/>
          <w:b w:val="0"/>
          <w:bCs w:val="0"/>
          <w:sz w:val="32"/>
          <w:szCs w:val="32"/>
          <w:shd w:val="clear" w:color="auto" w:fill="FFFFFF"/>
        </w:rPr>
        <w:t>六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、申报时间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日-4月30日。</w:t>
      </w:r>
    </w:p>
    <w:p>
      <w:pPr>
        <w:pStyle w:val="7"/>
        <w:numPr>
          <w:ilvl w:val="255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七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、注意事项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28949448、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我局从未委托任何单位或个人为企业代理资金扶持申报事宜，不接受第三方单位代为申报，请企业自主申报。我局将严格按照有关标准和程序受理申请，不收取任何费用。如有任何机构或个人假借我局工作人员名义向企业收取费用的，请知情者向我局举报。</w:t>
      </w:r>
    </w:p>
    <w:p>
      <w:pPr>
        <w:jc w:val="left"/>
      </w:pPr>
      <w:r>
        <w:br w:type="page"/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龙岗区软件企业</w:t>
      </w:r>
      <w:r>
        <w:rPr>
          <w:rFonts w:ascii="宋体" w:hAnsi="宋体"/>
          <w:b/>
          <w:sz w:val="44"/>
          <w:szCs w:val="44"/>
        </w:rPr>
        <w:t>公共平台建设扶持申请表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单位名称</w:t>
      </w:r>
      <w:r>
        <w:rPr>
          <w:rFonts w:hint="eastAsia" w:ascii="仿宋_GB2312" w:hAnsi="宋体" w:eastAsia="仿宋_GB2312"/>
          <w:sz w:val="32"/>
        </w:rPr>
        <w:t>（盖章）</w:t>
      </w:r>
      <w:r>
        <w:rPr>
          <w:rFonts w:hint="eastAsia" w:ascii="仿宋_GB2312" w:hAnsi="宋体" w:eastAsia="仿宋_GB2312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_GB2312" w:hAnsi="宋体" w:eastAsia="仿宋_GB2312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br w:type="page"/>
      </w:r>
    </w:p>
    <w:p>
      <w:pPr>
        <w:pStyle w:val="2"/>
      </w:pPr>
    </w:p>
    <w:p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本单位承诺遵守《深圳市龙岗区工业和信息化产业发展专项资金管理办法》（深龙府办〔2022〕5号）等相关文件规定，并自愿作出以下声明：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1.本单位对本申请材料的合法性、真实性、准确性和完整性负责，并与上报区统计部门数据口径一致。如有虚假，本单位依法承担相应的法律责任。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3.本单位承诺所申报项目无下列情形之一：（1）知识产权争议；（2）同一投入已获得政府投资或区级财政性专项资金扶持；（3）同一投入在区级政府资金中多头申报（政策允许的除外）。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4.本单位不存在被国家、省、市、区各相关部门列为严重失信主体情况，如因诉讼、仲裁或行政处罚执行导致财政扶持资金被扣划、冻结的，本单位有义务申请撤销项目将财政扶持资金全额退还。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5.本单位承诺自行申报该项目。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6.本单位承诺配合深圳市龙岗区工业和信息化局对项目开展监督、检查和绩效评价工作。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7.本申请材料仅为申请深圳市龙岗区工业和信息化局软件企业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公共平台建设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扶持制作并已自行备份，不再要求深圳市龙岗区工业和信息化局予以退还。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特此承诺。</w:t>
      </w: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</w:p>
    <w:p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个人签字：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办公电话：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签字日期：</w:t>
      </w:r>
    </w:p>
    <w:p>
      <w:pPr>
        <w:spacing w:after="120" w:line="560" w:lineRule="exact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近三年度（ 2020 — 2022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上年(2022年)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前年(2021年)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大前年(2020年)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HeitiStd-Regular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002935"/>
    <w:rsid w:val="003C4B8F"/>
    <w:rsid w:val="004D541D"/>
    <w:rsid w:val="00B92BA5"/>
    <w:rsid w:val="00F85538"/>
    <w:rsid w:val="0560706F"/>
    <w:rsid w:val="0B7B7615"/>
    <w:rsid w:val="0CC530CB"/>
    <w:rsid w:val="0E927349"/>
    <w:rsid w:val="0FFDD52D"/>
    <w:rsid w:val="1D6BB148"/>
    <w:rsid w:val="2492537A"/>
    <w:rsid w:val="27638F86"/>
    <w:rsid w:val="27AE1C90"/>
    <w:rsid w:val="2D961E06"/>
    <w:rsid w:val="2F7FE97D"/>
    <w:rsid w:val="332F54E0"/>
    <w:rsid w:val="39BFF6FD"/>
    <w:rsid w:val="3BF98DE1"/>
    <w:rsid w:val="3CC23CA1"/>
    <w:rsid w:val="3E77F651"/>
    <w:rsid w:val="3EBD6674"/>
    <w:rsid w:val="3FCFBB1C"/>
    <w:rsid w:val="428A6360"/>
    <w:rsid w:val="47BFB4B6"/>
    <w:rsid w:val="48DF4221"/>
    <w:rsid w:val="49554EDB"/>
    <w:rsid w:val="4A1947CF"/>
    <w:rsid w:val="4EF356D1"/>
    <w:rsid w:val="4FBBB887"/>
    <w:rsid w:val="52EE5D52"/>
    <w:rsid w:val="53E76F90"/>
    <w:rsid w:val="55D84307"/>
    <w:rsid w:val="56DE7D6A"/>
    <w:rsid w:val="58D1093C"/>
    <w:rsid w:val="59CF153A"/>
    <w:rsid w:val="5F3E7D92"/>
    <w:rsid w:val="5FF7CC8F"/>
    <w:rsid w:val="5FFD6DC7"/>
    <w:rsid w:val="63BF8482"/>
    <w:rsid w:val="643F7581"/>
    <w:rsid w:val="67FECFA1"/>
    <w:rsid w:val="69D39455"/>
    <w:rsid w:val="69DFA9A6"/>
    <w:rsid w:val="6B30417C"/>
    <w:rsid w:val="6DBAA88F"/>
    <w:rsid w:val="6E7E7417"/>
    <w:rsid w:val="6E9D0D81"/>
    <w:rsid w:val="6FEFCC54"/>
    <w:rsid w:val="705F0B8A"/>
    <w:rsid w:val="7317369D"/>
    <w:rsid w:val="73F8CDE1"/>
    <w:rsid w:val="73FCACDB"/>
    <w:rsid w:val="753402A3"/>
    <w:rsid w:val="75524330"/>
    <w:rsid w:val="75F329B9"/>
    <w:rsid w:val="76BFD281"/>
    <w:rsid w:val="7716A8D1"/>
    <w:rsid w:val="7735C17A"/>
    <w:rsid w:val="77A36FA1"/>
    <w:rsid w:val="77C577E4"/>
    <w:rsid w:val="787434CB"/>
    <w:rsid w:val="78EF0885"/>
    <w:rsid w:val="7ABF4136"/>
    <w:rsid w:val="7B7775FF"/>
    <w:rsid w:val="7BE33295"/>
    <w:rsid w:val="7BFF9810"/>
    <w:rsid w:val="7DF71722"/>
    <w:rsid w:val="7DFF824C"/>
    <w:rsid w:val="7ECFE7F0"/>
    <w:rsid w:val="7EFF65D2"/>
    <w:rsid w:val="7F5A5AF6"/>
    <w:rsid w:val="7FCB0958"/>
    <w:rsid w:val="7FEFCEB1"/>
    <w:rsid w:val="7FF34E47"/>
    <w:rsid w:val="7FF9747D"/>
    <w:rsid w:val="7FFE6D81"/>
    <w:rsid w:val="7FFF207D"/>
    <w:rsid w:val="9F9B26D8"/>
    <w:rsid w:val="9FFB627A"/>
    <w:rsid w:val="A65D75FC"/>
    <w:rsid w:val="ADF2589D"/>
    <w:rsid w:val="AFF7A0DF"/>
    <w:rsid w:val="BD533CAF"/>
    <w:rsid w:val="BDBFD40A"/>
    <w:rsid w:val="BEFFC879"/>
    <w:rsid w:val="BF7DF1E0"/>
    <w:rsid w:val="BFAFB895"/>
    <w:rsid w:val="BFED296A"/>
    <w:rsid w:val="CFFDECF9"/>
    <w:rsid w:val="D7BE4CB5"/>
    <w:rsid w:val="DBBB1628"/>
    <w:rsid w:val="DC76E4D6"/>
    <w:rsid w:val="DC7CD4D8"/>
    <w:rsid w:val="DF6F5C1C"/>
    <w:rsid w:val="E3D79BC3"/>
    <w:rsid w:val="E5FB3C7F"/>
    <w:rsid w:val="EDDEBD7A"/>
    <w:rsid w:val="EDF2071A"/>
    <w:rsid w:val="EFEE8F61"/>
    <w:rsid w:val="EFFEA052"/>
    <w:rsid w:val="EFFEEC14"/>
    <w:rsid w:val="F3ED803A"/>
    <w:rsid w:val="F3FF7AF5"/>
    <w:rsid w:val="F3FFDD11"/>
    <w:rsid w:val="F73976A1"/>
    <w:rsid w:val="F7BB7DFC"/>
    <w:rsid w:val="F7E7B7BD"/>
    <w:rsid w:val="F8A21CCF"/>
    <w:rsid w:val="FA3F989E"/>
    <w:rsid w:val="FB0A8123"/>
    <w:rsid w:val="FBE75485"/>
    <w:rsid w:val="FCFF52C2"/>
    <w:rsid w:val="FD7B6A47"/>
    <w:rsid w:val="FDDF4737"/>
    <w:rsid w:val="FDEB2FD7"/>
    <w:rsid w:val="FDF54905"/>
    <w:rsid w:val="FEBFD309"/>
    <w:rsid w:val="FEFA57AD"/>
    <w:rsid w:val="FF7F545B"/>
    <w:rsid w:val="FF7FFCDF"/>
    <w:rsid w:val="FFB3BB92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640</Words>
  <Characters>3653</Characters>
  <Lines>30</Lines>
  <Paragraphs>8</Paragraphs>
  <TotalTime>1</TotalTime>
  <ScaleCrop>false</ScaleCrop>
  <LinksUpToDate>false</LinksUpToDate>
  <CharactersWithSpaces>4285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2018-07-23T07:11:00Z</dcterms:created>
  <dc:creator>d</dc:creator>
  <cp:lastModifiedBy>俞超军</cp:lastModifiedBy>
  <cp:lastPrinted>2022-10-03T01:19:00Z</cp:lastPrinted>
  <dcterms:modified xsi:type="dcterms:W3CDTF">2023-03-28T14:37:00Z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99AD83BCAB3C4AACB6C9AA5587492F02</vt:lpwstr>
  </property>
</Properties>
</file>