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before="101" w:line="560" w:lineRule="exact"/>
        <w:ind w:left="0" w:leftChars="0" w:firstLine="0" w:firstLineChars="0"/>
        <w:outlineLvl w:val="0"/>
        <w:rPr>
          <w:rFonts w:hint="eastAsia" w:ascii="黑体" w:hAnsi="黑体" w:eastAsia="黑体" w:cs="黑体"/>
          <w:spacing w:val="-13"/>
          <w:position w:val="1"/>
          <w:sz w:val="32"/>
          <w:szCs w:val="32"/>
          <w:lang w:val="en-US" w:eastAsia="zh-CN"/>
        </w:rPr>
      </w:pPr>
      <w:r>
        <w:rPr>
          <w:rFonts w:ascii="黑体" w:hAnsi="黑体" w:eastAsia="黑体" w:cs="黑体"/>
          <w:spacing w:val="-16"/>
          <w:position w:val="1"/>
          <w:sz w:val="32"/>
          <w:szCs w:val="32"/>
        </w:rPr>
        <w:t>附</w:t>
      </w:r>
      <w:r>
        <w:rPr>
          <w:rFonts w:ascii="黑体" w:hAnsi="黑体" w:eastAsia="黑体" w:cs="黑体"/>
          <w:spacing w:val="-13"/>
          <w:position w:val="1"/>
          <w:sz w:val="32"/>
          <w:szCs w:val="32"/>
        </w:rPr>
        <w:t xml:space="preserve">件 </w:t>
      </w:r>
      <w:r>
        <w:rPr>
          <w:rFonts w:hint="eastAsia" w:ascii="黑体" w:hAnsi="黑体" w:eastAsia="黑体" w:cs="黑体"/>
          <w:spacing w:val="-13"/>
          <w:position w:val="1"/>
          <w:sz w:val="32"/>
          <w:szCs w:val="32"/>
          <w:lang w:val="en-US" w:eastAsia="zh-CN"/>
        </w:rPr>
        <w:t>2</w:t>
      </w:r>
    </w:p>
    <w:p>
      <w:pPr>
        <w:pageBreakBefore w:val="0"/>
        <w:kinsoku/>
        <w:wordWrap/>
        <w:overflowPunct/>
        <w:topLinePunct w:val="0"/>
        <w:autoSpaceDE/>
        <w:autoSpaceDN/>
        <w:bidi w:val="0"/>
        <w:adjustRightInd/>
        <w:snapToGrid/>
        <w:spacing w:before="50" w:line="560" w:lineRule="exact"/>
        <w:jc w:val="center"/>
        <w:outlineLvl w:val="0"/>
        <w:rPr>
          <w:rFonts w:hint="eastAsia" w:ascii="方正公文小标宋" w:hAnsi="方正公文小标宋" w:eastAsia="方正公文小标宋" w:cs="方正公文小标宋"/>
          <w:sz w:val="43"/>
          <w:szCs w:val="43"/>
          <w:lang w:eastAsia="zh-CN"/>
        </w:rPr>
      </w:pPr>
      <w:r>
        <w:rPr>
          <w:rFonts w:hint="eastAsia" w:ascii="方正公文小标宋" w:hAnsi="方正公文小标宋" w:eastAsia="方正公文小标宋" w:cs="方正公文小标宋"/>
          <w:spacing w:val="-1"/>
          <w:sz w:val="43"/>
          <w:szCs w:val="43"/>
          <w:lang w:eastAsia="zh-CN"/>
        </w:rPr>
        <w:t>各类优秀基地的典型做法</w:t>
      </w:r>
    </w:p>
    <w:p>
      <w:pPr>
        <w:pStyle w:val="2"/>
        <w:pageBreakBefore w:val="0"/>
        <w:numPr>
          <w:ilvl w:val="255"/>
          <w:numId w:val="0"/>
        </w:numPr>
        <w:kinsoku/>
        <w:wordWrap/>
        <w:overflowPunct/>
        <w:topLinePunct w:val="0"/>
        <w:autoSpaceDE/>
        <w:autoSpaceDN/>
        <w:bidi w:val="0"/>
        <w:adjustRightInd/>
        <w:snapToGrid/>
        <w:spacing w:line="560" w:lineRule="exact"/>
        <w:ind w:firstLine="640" w:firstLineChars="200"/>
        <w:rPr>
          <w:b w:val="0"/>
          <w:bCs/>
          <w:sz w:val="32"/>
          <w:szCs w:val="32"/>
        </w:rPr>
      </w:pPr>
      <w:bookmarkStart w:id="0" w:name="_Toc4753"/>
      <w:r>
        <w:rPr>
          <w:rFonts w:hint="eastAsia"/>
          <w:b w:val="0"/>
          <w:bCs/>
          <w:sz w:val="32"/>
          <w:szCs w:val="32"/>
          <w:lang w:eastAsia="zh-CN"/>
        </w:rPr>
        <w:t>一</w:t>
      </w:r>
      <w:r>
        <w:rPr>
          <w:rFonts w:hint="eastAsia"/>
          <w:b w:val="0"/>
          <w:bCs/>
          <w:sz w:val="32"/>
          <w:szCs w:val="32"/>
        </w:rPr>
        <w:t>、基地管理优秀做法和成效</w:t>
      </w:r>
      <w:bookmarkEnd w:id="0"/>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szCs w:val="32"/>
        </w:rPr>
      </w:pPr>
      <w:r>
        <w:rPr>
          <w:rFonts w:hint="eastAsia"/>
        </w:rPr>
        <w:t>通过现场复核排名前列的</w:t>
      </w:r>
      <w:r>
        <w:rPr>
          <w:rFonts w:hint="eastAsia" w:ascii="仿宋_GB2312" w:hAnsi="仿宋_GB2312"/>
        </w:rPr>
        <w:t>20</w:t>
      </w:r>
      <w:r>
        <w:rPr>
          <w:rFonts w:hint="eastAsia"/>
        </w:rPr>
        <w:t>个基地</w:t>
      </w:r>
      <w:r>
        <w:rPr>
          <w:rFonts w:hint="eastAsia"/>
          <w:lang w:eastAsia="zh-CN"/>
        </w:rPr>
        <w:t>，</w:t>
      </w:r>
      <w:r>
        <w:rPr>
          <w:rFonts w:hint="eastAsia"/>
        </w:rPr>
        <w:t>可发现优秀基地在基地建设和运营管理上呈现出一些共同的特点，值得推广和借鉴。各类基地的优秀做法和成效总结如下：</w:t>
      </w:r>
    </w:p>
    <w:p>
      <w:pPr>
        <w:pStyle w:val="3"/>
        <w:pageBreakBefore w:val="0"/>
        <w:kinsoku/>
        <w:wordWrap/>
        <w:overflowPunct/>
        <w:topLinePunct w:val="0"/>
        <w:autoSpaceDE/>
        <w:autoSpaceDN/>
        <w:bidi w:val="0"/>
        <w:adjustRightInd/>
        <w:snapToGrid/>
        <w:spacing w:line="560" w:lineRule="exact"/>
        <w:ind w:firstLine="643"/>
      </w:pPr>
      <w:bookmarkStart w:id="1" w:name="_Toc12214"/>
      <w:r>
        <w:rPr>
          <w:rFonts w:hint="eastAsia"/>
        </w:rPr>
        <w:t>（一）蔬菜水果基地</w:t>
      </w:r>
      <w:bookmarkEnd w:id="1"/>
    </w:p>
    <w:p>
      <w:pPr>
        <w:pageBreakBefore w:val="0"/>
        <w:kinsoku/>
        <w:wordWrap/>
        <w:overflowPunct/>
        <w:topLinePunct w:val="0"/>
        <w:autoSpaceDE/>
        <w:autoSpaceDN/>
        <w:bidi w:val="0"/>
        <w:adjustRightInd/>
        <w:snapToGrid/>
        <w:spacing w:line="560" w:lineRule="exact"/>
        <w:ind w:firstLine="642" w:firstLineChars="200"/>
        <w:rPr>
          <w:rFonts w:ascii="楷体_GB2312" w:hAnsi="仿宋" w:eastAsia="楷体_GB2312" w:cstheme="majorBidi"/>
          <w:b/>
          <w:bCs/>
          <w:color w:val="000000" w:themeColor="text1"/>
          <w:szCs w:val="32"/>
          <w14:textFill>
            <w14:solidFill>
              <w14:schemeClr w14:val="tx1"/>
            </w14:solidFill>
          </w14:textFill>
        </w:rPr>
      </w:pPr>
      <w:bookmarkStart w:id="2" w:name="_Toc17046"/>
      <w:r>
        <w:rPr>
          <w:rFonts w:hint="eastAsia" w:ascii="楷体_GB2312" w:hAnsi="仿宋" w:eastAsia="楷体_GB2312" w:cstheme="majorBidi"/>
          <w:b/>
          <w:bCs/>
          <w:color w:val="000000" w:themeColor="text1"/>
          <w:szCs w:val="32"/>
          <w14:textFill>
            <w14:solidFill>
              <w14:schemeClr w14:val="tx1"/>
            </w14:solidFill>
          </w14:textFill>
        </w:rPr>
        <w:t>1.高标准的基地建设，重视质量管理</w:t>
      </w:r>
      <w:bookmarkEnd w:id="2"/>
    </w:p>
    <w:p>
      <w:pPr>
        <w:pageBreakBefore w:val="0"/>
        <w:kinsoku/>
        <w:wordWrap/>
        <w:overflowPunct/>
        <w:topLinePunct w:val="0"/>
        <w:autoSpaceDE/>
        <w:autoSpaceDN/>
        <w:bidi w:val="0"/>
        <w:adjustRightInd/>
        <w:snapToGrid/>
        <w:spacing w:line="560" w:lineRule="exact"/>
        <w:ind w:firstLine="640" w:firstLineChars="200"/>
        <w:rPr>
          <w:rFonts w:cstheme="minorBidi"/>
        </w:rPr>
      </w:pPr>
      <w:r>
        <w:rPr>
          <w:rFonts w:hint="eastAsia" w:cstheme="minorBidi"/>
        </w:rPr>
        <w:t>基地建设方面，基地均按照高标准农田要求，科学规划种植面积和内部功能分区，如种苗培育、种植区、农资供应储存区、检验室等。基地内水、电、大棚、两膜一网、水肥灌溉等生产设施配备齐全，运输道路、排水沟、水渠硬底化等基础设施建设良好。</w:t>
      </w:r>
    </w:p>
    <w:p>
      <w:pPr>
        <w:pageBreakBefore w:val="0"/>
        <w:kinsoku/>
        <w:wordWrap/>
        <w:overflowPunct/>
        <w:topLinePunct w:val="0"/>
        <w:autoSpaceDE/>
        <w:autoSpaceDN/>
        <w:bidi w:val="0"/>
        <w:adjustRightInd/>
        <w:snapToGrid/>
        <w:spacing w:line="560" w:lineRule="exact"/>
        <w:ind w:firstLine="640" w:firstLineChars="200"/>
      </w:pPr>
      <w:r>
        <w:rPr>
          <w:rFonts w:hint="eastAsia"/>
        </w:rPr>
        <w:t>质量管理方面，各基地根据</w:t>
      </w:r>
      <w:r>
        <w:rPr>
          <w:rFonts w:hint="eastAsia" w:ascii="仿宋_GB2312" w:hAnsi="仿宋_GB2312"/>
          <w:szCs w:val="28"/>
        </w:rPr>
        <w:t>无公害农产品系列标准、有机产品标准等相关技术规范，制定适用于基地的技术规程和质量管理制度。不仅在基地各功能区有上墙的制度，还将技术规程和制度印刷装订成册，发放给各岗位员工。</w:t>
      </w:r>
      <w:r>
        <w:rPr>
          <w:rFonts w:hint="eastAsia" w:ascii="仿宋_GB2312" w:hAnsi="仿宋_GB2312"/>
          <w:kern w:val="0"/>
          <w:szCs w:val="32"/>
        </w:rPr>
        <w:t>各基地配备了专业的生产和质量管理人员和设施齐全的检测室，对生产全过程进行技术指导、对质量安全进行严格把关，全面保障基地农产品的质量安全。</w:t>
      </w:r>
    </w:p>
    <w:p>
      <w:pPr>
        <w:pageBreakBefore w:val="0"/>
        <w:kinsoku/>
        <w:wordWrap/>
        <w:overflowPunct/>
        <w:topLinePunct w:val="0"/>
        <w:autoSpaceDE/>
        <w:autoSpaceDN/>
        <w:bidi w:val="0"/>
        <w:adjustRightInd/>
        <w:snapToGrid/>
        <w:spacing w:line="560" w:lineRule="exact"/>
        <w:ind w:firstLine="642" w:firstLineChars="200"/>
        <w:rPr>
          <w:rFonts w:ascii="楷体_GB2312" w:hAnsi="仿宋" w:eastAsia="楷体_GB2312" w:cstheme="majorBidi"/>
          <w:b/>
          <w:bCs/>
          <w:color w:val="000000" w:themeColor="text1"/>
          <w:szCs w:val="32"/>
          <w14:textFill>
            <w14:solidFill>
              <w14:schemeClr w14:val="tx1"/>
            </w14:solidFill>
          </w14:textFill>
        </w:rPr>
      </w:pPr>
      <w:bookmarkStart w:id="3" w:name="_Toc20859"/>
      <w:r>
        <w:rPr>
          <w:rFonts w:hint="eastAsia" w:ascii="楷体_GB2312" w:hAnsi="仿宋" w:eastAsia="楷体_GB2312" w:cstheme="majorBidi"/>
          <w:b/>
          <w:bCs/>
          <w:color w:val="000000" w:themeColor="text1"/>
          <w:szCs w:val="32"/>
          <w14:textFill>
            <w14:solidFill>
              <w14:schemeClr w14:val="tx1"/>
            </w14:solidFill>
          </w14:textFill>
        </w:rPr>
        <w:t>2.因地制宜，合理利用耕地资源</w:t>
      </w:r>
      <w:bookmarkEnd w:id="3"/>
    </w:p>
    <w:p>
      <w:pPr>
        <w:pageBreakBefore w:val="0"/>
        <w:numPr>
          <w:ilvl w:val="255"/>
          <w:numId w:val="0"/>
        </w:numPr>
        <w:kinsoku/>
        <w:wordWrap/>
        <w:overflowPunct/>
        <w:topLinePunct w:val="0"/>
        <w:autoSpaceDE/>
        <w:autoSpaceDN/>
        <w:bidi w:val="0"/>
        <w:adjustRightInd/>
        <w:snapToGrid/>
        <w:spacing w:line="560" w:lineRule="exact"/>
        <w:ind w:firstLine="640" w:firstLineChars="200"/>
        <w:rPr>
          <w:rFonts w:ascii="仿宋_GB2312" w:hAnsi="仿宋_GB2312"/>
          <w:kern w:val="0"/>
          <w:szCs w:val="32"/>
        </w:rPr>
      </w:pPr>
      <w:r>
        <w:rPr>
          <w:rFonts w:hint="eastAsia"/>
        </w:rPr>
        <w:t>每年5-10月广东进入高温高湿的气候环境，不适宜叶菜的种植，较难保证农产品的质量安全，因此部分企业根据不同气候条件设立了南北基地，既保证了农产品的质量安全，又能实现蔬菜周年均衡供应。北方基地大都选择了日照长、昼夜温差大、水资源丰富、土壤肥沃等自然环境优越的地区，南方基地则集中在深圳周边地区。夏秋季在北方种植蔬菜，冬春季在南方种植蔬菜，灵活安排生产时期，南北基地种植周期互补，每个基地种植半年休耕或轮作半年，合理利用耕地资源，既能提高土地效能，实现可持续发展，又避免了</w:t>
      </w:r>
      <w:r>
        <w:rPr>
          <w:rFonts w:hint="eastAsia" w:ascii="仿宋_GB2312" w:hAnsi="仿宋_GB2312"/>
          <w:kern w:val="0"/>
          <w:szCs w:val="32"/>
        </w:rPr>
        <w:t>土地撂荒。</w:t>
      </w:r>
    </w:p>
    <w:p>
      <w:pPr>
        <w:pageBreakBefore w:val="0"/>
        <w:kinsoku/>
        <w:wordWrap/>
        <w:overflowPunct/>
        <w:topLinePunct w:val="0"/>
        <w:autoSpaceDE/>
        <w:autoSpaceDN/>
        <w:bidi w:val="0"/>
        <w:adjustRightInd/>
        <w:snapToGrid/>
        <w:spacing w:line="560" w:lineRule="exact"/>
        <w:ind w:firstLine="642" w:firstLineChars="200"/>
        <w:rPr>
          <w:rFonts w:ascii="楷体_GB2312" w:hAnsi="仿宋" w:eastAsia="楷体_GB2312" w:cstheme="majorBidi"/>
          <w:b/>
          <w:bCs/>
          <w:color w:val="000000" w:themeColor="text1"/>
          <w:szCs w:val="32"/>
          <w14:textFill>
            <w14:solidFill>
              <w14:schemeClr w14:val="tx1"/>
            </w14:solidFill>
          </w14:textFill>
        </w:rPr>
      </w:pPr>
      <w:bookmarkStart w:id="4" w:name="_Toc31473"/>
      <w:r>
        <w:rPr>
          <w:rFonts w:hint="eastAsia" w:ascii="楷体_GB2312" w:hAnsi="仿宋" w:eastAsia="楷体_GB2312" w:cstheme="majorBidi"/>
          <w:b/>
          <w:bCs/>
          <w:color w:val="000000" w:themeColor="text1"/>
          <w:szCs w:val="32"/>
          <w14:textFill>
            <w14:solidFill>
              <w14:schemeClr w14:val="tx1"/>
            </w14:solidFill>
          </w14:textFill>
        </w:rPr>
        <w:t>3.分工明确，岗位专业化、精细化</w:t>
      </w:r>
      <w:bookmarkEnd w:id="4"/>
    </w:p>
    <w:p>
      <w:pPr>
        <w:pageBreakBefore w:val="0"/>
        <w:numPr>
          <w:ilvl w:val="255"/>
          <w:numId w:val="0"/>
        </w:numPr>
        <w:kinsoku/>
        <w:wordWrap/>
        <w:overflowPunct/>
        <w:topLinePunct w:val="0"/>
        <w:autoSpaceDE/>
        <w:autoSpaceDN/>
        <w:bidi w:val="0"/>
        <w:adjustRightInd/>
        <w:snapToGrid/>
        <w:spacing w:line="560" w:lineRule="exact"/>
        <w:ind w:firstLine="640" w:firstLineChars="200"/>
      </w:pPr>
      <w:r>
        <w:rPr>
          <w:rFonts w:hint="eastAsia"/>
        </w:rPr>
        <w:t>基地的管理分工明确，实行流水线式和梯度的管理模式。由生产总管进行场部整体生产安排、作物品种搭配、整地、播种、定植、施肥、施药、灌溉、采收等田间管理，下设不同的技术岗位，包含农药配药师和施药技术工、施肥技术工、喷水技术工、打地技术工、播种间苗及采收技术工、田间运输技术工、质检技术人员、加工区操作人员及仓库管理技术人员等，让每个岗位实现专业化和精细化，以保证产品的质量。</w:t>
      </w:r>
    </w:p>
    <w:p>
      <w:pPr>
        <w:pStyle w:val="3"/>
        <w:pageBreakBefore w:val="0"/>
        <w:numPr>
          <w:ilvl w:val="0"/>
          <w:numId w:val="1"/>
        </w:numPr>
        <w:kinsoku/>
        <w:wordWrap/>
        <w:overflowPunct/>
        <w:topLinePunct w:val="0"/>
        <w:autoSpaceDE/>
        <w:autoSpaceDN/>
        <w:bidi w:val="0"/>
        <w:adjustRightInd/>
        <w:snapToGrid/>
        <w:spacing w:line="560" w:lineRule="exact"/>
        <w:ind w:firstLine="643"/>
      </w:pPr>
      <w:bookmarkStart w:id="5" w:name="_Toc13839"/>
      <w:r>
        <w:rPr>
          <w:rFonts w:hint="eastAsia"/>
        </w:rPr>
        <w:t>畜禽蛋奶基地和水产基地</w:t>
      </w:r>
      <w:bookmarkEnd w:id="5"/>
    </w:p>
    <w:p>
      <w:pPr>
        <w:pageBreakBefore w:val="0"/>
        <w:kinsoku/>
        <w:wordWrap/>
        <w:overflowPunct/>
        <w:topLinePunct w:val="0"/>
        <w:autoSpaceDE/>
        <w:autoSpaceDN/>
        <w:bidi w:val="0"/>
        <w:adjustRightInd/>
        <w:snapToGrid/>
        <w:spacing w:line="560" w:lineRule="exact"/>
        <w:ind w:firstLine="642" w:firstLineChars="200"/>
        <w:rPr>
          <w:rFonts w:ascii="楷体_GB2312" w:hAnsi="仿宋" w:eastAsia="楷体_GB2312" w:cstheme="majorBidi"/>
          <w:b/>
          <w:bCs/>
          <w:color w:val="000000" w:themeColor="text1"/>
          <w:szCs w:val="32"/>
          <w14:textFill>
            <w14:solidFill>
              <w14:schemeClr w14:val="tx1"/>
            </w14:solidFill>
          </w14:textFill>
        </w:rPr>
      </w:pPr>
      <w:bookmarkStart w:id="6" w:name="_Toc28775"/>
      <w:r>
        <w:rPr>
          <w:rFonts w:hint="eastAsia" w:ascii="楷体_GB2312" w:hAnsi="仿宋" w:eastAsia="楷体_GB2312" w:cstheme="majorBidi"/>
          <w:b/>
          <w:bCs/>
          <w:color w:val="000000" w:themeColor="text1"/>
          <w:szCs w:val="32"/>
          <w14:textFill>
            <w14:solidFill>
              <w14:schemeClr w14:val="tx1"/>
            </w14:solidFill>
          </w14:textFill>
        </w:rPr>
        <w:t>1.严格的产品准出制度，保障农产品质量安全</w:t>
      </w:r>
      <w:bookmarkEnd w:id="6"/>
    </w:p>
    <w:p>
      <w:pPr>
        <w:pageBreakBefore w:val="0"/>
        <w:numPr>
          <w:ilvl w:val="255"/>
          <w:numId w:val="0"/>
        </w:numPr>
        <w:kinsoku/>
        <w:wordWrap/>
        <w:overflowPunct/>
        <w:topLinePunct w:val="0"/>
        <w:autoSpaceDE/>
        <w:autoSpaceDN/>
        <w:bidi w:val="0"/>
        <w:adjustRightInd/>
        <w:snapToGrid/>
        <w:spacing w:line="560" w:lineRule="exact"/>
        <w:ind w:firstLine="640" w:firstLineChars="200"/>
      </w:pPr>
      <w:r>
        <w:rPr>
          <w:rFonts w:hint="eastAsia"/>
        </w:rPr>
        <w:t>基地配置专业的检测室和检测人员，可进行产品病害、药物残留监测，并且长期委托第三方有资质的检测公司定期对产品进行药物残留定量检测。每批次产品需取得合格报告后方可上市。</w:t>
      </w:r>
    </w:p>
    <w:p>
      <w:pPr>
        <w:pageBreakBefore w:val="0"/>
        <w:kinsoku/>
        <w:wordWrap/>
        <w:overflowPunct/>
        <w:topLinePunct w:val="0"/>
        <w:autoSpaceDE/>
        <w:autoSpaceDN/>
        <w:bidi w:val="0"/>
        <w:adjustRightInd/>
        <w:snapToGrid/>
        <w:spacing w:line="560" w:lineRule="exact"/>
        <w:ind w:firstLine="642" w:firstLineChars="200"/>
        <w:rPr>
          <w:rFonts w:ascii="楷体_GB2312" w:hAnsi="仿宋" w:eastAsia="楷体_GB2312" w:cstheme="majorBidi"/>
          <w:b/>
          <w:bCs/>
          <w:color w:val="000000" w:themeColor="text1"/>
          <w:szCs w:val="32"/>
          <w14:textFill>
            <w14:solidFill>
              <w14:schemeClr w14:val="tx1"/>
            </w14:solidFill>
          </w14:textFill>
        </w:rPr>
      </w:pPr>
      <w:bookmarkStart w:id="7" w:name="_Toc1974"/>
      <w:r>
        <w:rPr>
          <w:rFonts w:hint="eastAsia" w:ascii="楷体_GB2312" w:hAnsi="仿宋" w:eastAsia="楷体_GB2312" w:cstheme="majorBidi"/>
          <w:b/>
          <w:bCs/>
          <w:color w:val="000000" w:themeColor="text1"/>
          <w:szCs w:val="32"/>
          <w14:textFill>
            <w14:solidFill>
              <w14:schemeClr w14:val="tx1"/>
            </w14:solidFill>
          </w14:textFill>
        </w:rPr>
        <w:t>2.完善的管理体系，确保产品质量的可追溯性</w:t>
      </w:r>
      <w:bookmarkEnd w:id="7"/>
    </w:p>
    <w:p>
      <w:pPr>
        <w:pageBreakBefore w:val="0"/>
        <w:numPr>
          <w:ilvl w:val="255"/>
          <w:numId w:val="0"/>
        </w:numPr>
        <w:kinsoku/>
        <w:wordWrap/>
        <w:overflowPunct/>
        <w:topLinePunct w:val="0"/>
        <w:autoSpaceDE/>
        <w:autoSpaceDN/>
        <w:bidi w:val="0"/>
        <w:adjustRightInd/>
        <w:snapToGrid/>
        <w:spacing w:line="560" w:lineRule="exact"/>
        <w:ind w:firstLine="640" w:firstLineChars="200"/>
      </w:pPr>
      <w:r>
        <w:rPr>
          <w:rFonts w:hint="eastAsia"/>
        </w:rPr>
        <w:t>养殖基地均制定了全面的管理制度和质量管控措施，包括养殖操作规程、疫苗药物的管理、可追溯制度、紧急事件和突发情况的应急处理措施等。配备专业的质量管理人员，对养殖过程中的农业投入品和兽药使用、疫病防治等环节进行详细记录。畜禽蛋奶基地还建立了终端销售的可追溯体系，在屠宰加工环节配备有相应的质量管控人员对产品的质量和食品安全进行把关，在食品销售终端建立定期巡查制度，同时配备追溯码，加载产品的生产日期、检测报告、养殖基地以及屠宰加工场所等信息，确保终端产品质量的可追溯。</w:t>
      </w:r>
    </w:p>
    <w:p>
      <w:pPr>
        <w:pStyle w:val="3"/>
        <w:pageBreakBefore w:val="0"/>
        <w:numPr>
          <w:ilvl w:val="0"/>
          <w:numId w:val="1"/>
        </w:numPr>
        <w:kinsoku/>
        <w:wordWrap/>
        <w:overflowPunct/>
        <w:topLinePunct w:val="0"/>
        <w:autoSpaceDE/>
        <w:autoSpaceDN/>
        <w:bidi w:val="0"/>
        <w:adjustRightInd/>
        <w:snapToGrid/>
        <w:spacing w:line="560" w:lineRule="exact"/>
        <w:ind w:firstLine="643"/>
      </w:pPr>
      <w:bookmarkStart w:id="8" w:name="_Toc4729"/>
      <w:r>
        <w:rPr>
          <w:rFonts w:hint="eastAsia"/>
        </w:rPr>
        <w:t>农产品加工配送基地</w:t>
      </w:r>
      <w:bookmarkEnd w:id="8"/>
    </w:p>
    <w:p>
      <w:pPr>
        <w:pageBreakBefore w:val="0"/>
        <w:numPr>
          <w:ilvl w:val="255"/>
          <w:numId w:val="0"/>
        </w:numPr>
        <w:kinsoku/>
        <w:wordWrap/>
        <w:overflowPunct/>
        <w:topLinePunct w:val="0"/>
        <w:autoSpaceDE/>
        <w:autoSpaceDN/>
        <w:bidi w:val="0"/>
        <w:adjustRightInd/>
        <w:snapToGrid/>
        <w:spacing w:line="560" w:lineRule="exact"/>
        <w:ind w:firstLine="640" w:firstLineChars="200"/>
      </w:pPr>
      <w:r>
        <w:rPr>
          <w:rFonts w:hint="eastAsia"/>
        </w:rPr>
        <w:t>排名前列的农产品加工配送基地均有自有或合作的原料种植养殖基地。企业分别在原料的种植养殖基地和产品加工配送基地配备专业的质量管理人员，可统一实现产品从种植养殖过程、加工、运输、销售等各个关键环节的质量控制和追溯。另外，</w:t>
      </w:r>
      <w:r>
        <w:rPr>
          <w:rFonts w:hint="eastAsia"/>
          <w:lang w:val="en-US" w:eastAsia="zh-CN"/>
        </w:rPr>
        <w:t>此类</w:t>
      </w:r>
      <w:r>
        <w:rPr>
          <w:rFonts w:hint="eastAsia"/>
        </w:rPr>
        <w:t>基地都具有很强的品牌意识，积极发展商标品牌战略，在市场上有一定</w:t>
      </w:r>
      <w:r>
        <w:rPr>
          <w:rFonts w:hint="eastAsia" w:ascii="仿宋_GB2312" w:hAnsi="仿宋_GB2312"/>
          <w:szCs w:val="28"/>
        </w:rPr>
        <w:t>的影响力和信任度。</w:t>
      </w:r>
    </w:p>
    <w:p>
      <w:pPr>
        <w:pStyle w:val="3"/>
        <w:pageBreakBefore w:val="0"/>
        <w:numPr>
          <w:ilvl w:val="0"/>
          <w:numId w:val="1"/>
        </w:numPr>
        <w:kinsoku/>
        <w:wordWrap/>
        <w:overflowPunct/>
        <w:topLinePunct w:val="0"/>
        <w:autoSpaceDE/>
        <w:autoSpaceDN/>
        <w:bidi w:val="0"/>
        <w:adjustRightInd/>
        <w:snapToGrid/>
        <w:spacing w:line="560" w:lineRule="exact"/>
        <w:ind w:firstLine="643"/>
      </w:pPr>
      <w:bookmarkStart w:id="9" w:name="_Toc21774"/>
      <w:r>
        <w:rPr>
          <w:rFonts w:hint="eastAsia"/>
        </w:rPr>
        <w:t>农产品流通基地</w:t>
      </w:r>
      <w:bookmarkEnd w:id="9"/>
    </w:p>
    <w:p>
      <w:pPr>
        <w:pageBreakBefore w:val="0"/>
        <w:numPr>
          <w:ilvl w:val="255"/>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color w:val="000000"/>
          <w:kern w:val="0"/>
          <w:szCs w:val="28"/>
        </w:rPr>
      </w:pPr>
      <w:r>
        <w:rPr>
          <w:rFonts w:hint="eastAsia" w:ascii="仿宋_GB2312" w:hAnsi="仿宋_GB2312"/>
          <w:color w:val="000000"/>
          <w:kern w:val="0"/>
          <w:szCs w:val="28"/>
        </w:rPr>
        <w:t>农产品流通基地以食品安全管理体系为执行标准，建立了成熟的电子化、网络化、网格化、智能化的管理和运营模式。基地具备完善的标准化物流技术和物流信息管理，以及完整的质量追溯系统，</w:t>
      </w:r>
      <w:r>
        <w:rPr>
          <w:rFonts w:hint="eastAsia"/>
        </w:rPr>
        <w:t>长期委托第三方有资质的检测公司开展农产品检测工作，保证了</w:t>
      </w:r>
      <w:r>
        <w:rPr>
          <w:rFonts w:hint="eastAsia" w:ascii="仿宋_GB2312" w:hAnsi="仿宋_GB2312"/>
          <w:color w:val="000000"/>
          <w:kern w:val="0"/>
          <w:szCs w:val="28"/>
        </w:rPr>
        <w:t>流通农产品质量安全。</w:t>
      </w:r>
    </w:p>
    <w:p>
      <w:pPr>
        <w:pStyle w:val="2"/>
        <w:pageBreakBefore w:val="0"/>
        <w:numPr>
          <w:ilvl w:val="255"/>
          <w:numId w:val="0"/>
        </w:numPr>
        <w:kinsoku/>
        <w:wordWrap/>
        <w:overflowPunct/>
        <w:topLinePunct w:val="0"/>
        <w:autoSpaceDE/>
        <w:autoSpaceDN/>
        <w:bidi w:val="0"/>
        <w:adjustRightInd/>
        <w:snapToGrid/>
        <w:spacing w:line="560" w:lineRule="exact"/>
        <w:ind w:firstLine="640" w:firstLineChars="200"/>
        <w:rPr>
          <w:b w:val="0"/>
          <w:bCs/>
          <w:sz w:val="32"/>
          <w:szCs w:val="32"/>
        </w:rPr>
      </w:pPr>
      <w:bookmarkStart w:id="10" w:name="_Toc9699"/>
      <w:r>
        <w:rPr>
          <w:rFonts w:hint="eastAsia"/>
          <w:b w:val="0"/>
          <w:bCs/>
          <w:sz w:val="32"/>
          <w:szCs w:val="32"/>
          <w:lang w:eastAsia="zh-CN"/>
        </w:rPr>
        <w:t>二</w:t>
      </w:r>
      <w:r>
        <w:rPr>
          <w:rFonts w:hint="eastAsia"/>
          <w:b w:val="0"/>
          <w:bCs/>
          <w:sz w:val="32"/>
          <w:szCs w:val="32"/>
        </w:rPr>
        <w:t>、存在的问题分析与对策建议</w:t>
      </w:r>
      <w:bookmarkEnd w:id="10"/>
    </w:p>
    <w:p>
      <w:pPr>
        <w:pStyle w:val="6"/>
        <w:pageBreakBefore w:val="0"/>
        <w:kinsoku/>
        <w:wordWrap/>
        <w:overflowPunct/>
        <w:topLinePunct w:val="0"/>
        <w:autoSpaceDE/>
        <w:autoSpaceDN/>
        <w:bidi w:val="0"/>
        <w:adjustRightInd/>
        <w:snapToGrid/>
        <w:spacing w:line="560" w:lineRule="exact"/>
        <w:ind w:firstLine="640"/>
        <w:rPr>
          <w:rFonts w:ascii="仿宋_GB2312" w:hAnsi="仿宋_GB2312"/>
          <w:szCs w:val="32"/>
        </w:rPr>
      </w:pPr>
      <w:r>
        <w:rPr>
          <w:rFonts w:hint="eastAsia"/>
        </w:rPr>
        <w:t>从综合考评结果来看，43个申报基地的综合考评得分超过70分，其中16个基地综合考评得分在80分以上，说明申报本次综合考评的基地大多具备</w:t>
      </w:r>
      <w:r>
        <w:rPr>
          <w:rFonts w:hint="eastAsia" w:ascii="仿宋_GB2312" w:hAnsi="仿宋_GB2312"/>
          <w:szCs w:val="32"/>
        </w:rPr>
        <w:t>较强的供应深圳市场的能力和较高的质量管理水平。但仍存在一些短板和弱项，未来可以进一步完善：</w:t>
      </w:r>
    </w:p>
    <w:p>
      <w:pPr>
        <w:pStyle w:val="3"/>
        <w:pageBreakBefore w:val="0"/>
        <w:numPr>
          <w:ilvl w:val="0"/>
          <w:numId w:val="2"/>
        </w:numPr>
        <w:kinsoku/>
        <w:wordWrap/>
        <w:overflowPunct/>
        <w:topLinePunct w:val="0"/>
        <w:autoSpaceDE/>
        <w:autoSpaceDN/>
        <w:bidi w:val="0"/>
        <w:adjustRightInd/>
        <w:snapToGrid/>
        <w:spacing w:line="560" w:lineRule="exact"/>
        <w:ind w:firstLine="643"/>
      </w:pPr>
      <w:bookmarkStart w:id="11" w:name="_Toc26134"/>
      <w:r>
        <w:rPr>
          <w:rFonts w:hint="eastAsia"/>
        </w:rPr>
        <w:t>科学化管理水平较低，引导基地数字化、智慧化、可视化管理发展</w:t>
      </w:r>
      <w:bookmarkEnd w:id="11"/>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kern w:val="0"/>
          <w:szCs w:val="32"/>
          <w:lang w:val="zh-CN"/>
        </w:rPr>
      </w:pPr>
      <w:r>
        <w:rPr>
          <w:rFonts w:hint="eastAsia" w:cstheme="minorBidi"/>
          <w:lang w:val="zh-CN"/>
        </w:rPr>
        <w:t>大多数市菜篮子种植基地采用的是传统农业的运营管理模式，不仅人力成本高，且从事农业生产的</w:t>
      </w:r>
      <w:r>
        <w:rPr>
          <w:rFonts w:hint="eastAsia" w:ascii="仿宋_GB2312" w:hAnsi="仿宋_GB2312"/>
          <w:kern w:val="0"/>
          <w:szCs w:val="32"/>
          <w:lang w:val="zh-CN"/>
        </w:rPr>
        <w:t>从业人员年龄分层、受教育程度、知识结构、科学技术存在短板，因而生产过程中农产品的质量安全管理存在一定的风险隐患。</w:t>
      </w:r>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color w:val="000000"/>
          <w:kern w:val="0"/>
          <w:szCs w:val="28"/>
        </w:rPr>
      </w:pPr>
      <w:r>
        <w:rPr>
          <w:rFonts w:hint="eastAsia" w:ascii="仿宋_GB2312" w:hAnsi="仿宋_GB2312"/>
          <w:color w:val="000000"/>
          <w:kern w:val="0"/>
          <w:szCs w:val="28"/>
        </w:rPr>
        <w:t>科学化管理可以帮助菜篮子基地合理利用农业资源，降低生产成本，改善生态环境，提升农产品质量安全水平。</w:t>
      </w:r>
      <w:r>
        <w:rPr>
          <w:rFonts w:hint="eastAsia" w:ascii="仿宋_GB2312" w:hAnsi="仿宋_GB2312"/>
          <w:kern w:val="0"/>
          <w:szCs w:val="32"/>
          <w:lang w:val="zh-CN"/>
        </w:rPr>
        <w:t>引导基地发展数字化、智慧化农业，实时监测农业生产过程中农作物、土壤的发展变化，实现对农作物生长、发育状况、病虫害、水肥状况以及相应的环境进行定期信息获取。通过可视化的数据管理，可以指导</w:t>
      </w:r>
      <w:r>
        <w:rPr>
          <w:rFonts w:hint="eastAsia" w:ascii="仿宋_GB2312" w:hAnsi="仿宋_GB2312"/>
          <w:color w:val="000000"/>
          <w:kern w:val="0"/>
          <w:szCs w:val="28"/>
        </w:rPr>
        <w:t>菜篮子基地进行标准化种植、生产加工和经营管理，督促基地按照法律法规和标准要求，科学合理使用农药、兽药、饲料、饲料添加剂等农业投入品，严格执行农业投入品使用安全间隔期、休药期的规定，确保基地产品符合农产品质量安全标准。</w:t>
      </w:r>
    </w:p>
    <w:p>
      <w:pPr>
        <w:pStyle w:val="3"/>
        <w:pageBreakBefore w:val="0"/>
        <w:numPr>
          <w:ilvl w:val="0"/>
          <w:numId w:val="2"/>
        </w:numPr>
        <w:kinsoku/>
        <w:wordWrap/>
        <w:overflowPunct/>
        <w:topLinePunct w:val="0"/>
        <w:autoSpaceDE/>
        <w:autoSpaceDN/>
        <w:bidi w:val="0"/>
        <w:adjustRightInd/>
        <w:snapToGrid/>
        <w:spacing w:line="560" w:lineRule="exact"/>
        <w:ind w:firstLine="643"/>
      </w:pPr>
      <w:bookmarkStart w:id="12" w:name="_Toc22549"/>
      <w:r>
        <w:rPr>
          <w:rFonts w:hint="eastAsia"/>
        </w:rPr>
        <w:t>加强基地的沟通交流，充分发挥优秀基地的模范带头作用</w:t>
      </w:r>
      <w:bookmarkEnd w:id="12"/>
    </w:p>
    <w:p>
      <w:pPr>
        <w:pageBreakBefore w:val="0"/>
        <w:kinsoku/>
        <w:wordWrap/>
        <w:overflowPunct/>
        <w:topLinePunct w:val="0"/>
        <w:autoSpaceDE/>
        <w:autoSpaceDN/>
        <w:bidi w:val="0"/>
        <w:adjustRightInd/>
        <w:snapToGrid/>
        <w:spacing w:line="560" w:lineRule="exact"/>
        <w:ind w:firstLine="640" w:firstLineChars="200"/>
        <w:rPr>
          <w:rFonts w:ascii="仿宋_GB2312" w:hAnsi="仿宋_GB2312"/>
          <w:kern w:val="0"/>
          <w:szCs w:val="32"/>
          <w:lang w:val="zh-CN"/>
        </w:rPr>
      </w:pPr>
      <w:r>
        <w:rPr>
          <w:rFonts w:hint="eastAsia" w:ascii="仿宋_GB2312" w:hAnsi="仿宋_GB2312"/>
          <w:kern w:val="0"/>
          <w:szCs w:val="32"/>
          <w:lang w:val="zh-CN"/>
        </w:rPr>
        <w:t>通过整理分析申报基地综合考评的自评材料和基地的综合考评结果发现，市菜篮子基地的标准化、组织化、数字化发展速度和发展程度存在差异，基地的农产品质量安全管理水平参差不平。加强市菜篮子基地之间的沟通交流，相互学习，取长补短，可推动优秀基地在生产、加工、流通领域中形成良好的示范作用，有利于推广优秀基地的管理方法和经验，促进菜篮子基地整体向标准化、组织化、规模化、数字化、智慧化的目标建设发展。</w:t>
      </w:r>
    </w:p>
    <w:p>
      <w:pPr>
        <w:pageBreakBefore w:val="0"/>
        <w:numPr>
          <w:ilvl w:val="255"/>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color w:val="000000"/>
          <w:kern w:val="0"/>
          <w:szCs w:val="28"/>
        </w:rPr>
      </w:pPr>
    </w:p>
    <w:p>
      <w:pPr>
        <w:pageBreakBefore w:val="0"/>
        <w:kinsoku/>
        <w:wordWrap/>
        <w:overflowPunct/>
        <w:topLinePunct w:val="0"/>
        <w:autoSpaceDE/>
        <w:autoSpaceDN/>
        <w:bidi w:val="0"/>
        <w:adjustRightInd/>
        <w:snapToGrid/>
        <w:spacing w:before="101" w:line="560" w:lineRule="exact"/>
        <w:ind w:left="0" w:leftChars="0" w:firstLine="0" w:firstLineChars="0"/>
        <w:outlineLvl w:val="0"/>
        <w:rPr>
          <w:rFonts w:hint="eastAsia" w:ascii="黑体" w:hAnsi="黑体" w:eastAsia="黑体" w:cs="黑体"/>
          <w:spacing w:val="-13"/>
          <w:position w:val="1"/>
          <w:sz w:val="32"/>
          <w:szCs w:val="32"/>
          <w:lang w:val="en-US" w:eastAsia="zh-CN"/>
        </w:rPr>
      </w:pPr>
    </w:p>
    <w:p>
      <w:pPr>
        <w:pageBreakBefore w:val="0"/>
        <w:kinsoku/>
        <w:wordWrap/>
        <w:overflowPunct/>
        <w:topLinePunct w:val="0"/>
        <w:autoSpaceDE/>
        <w:autoSpaceDN/>
        <w:bidi w:val="0"/>
        <w:adjustRightInd/>
        <w:snapToGrid/>
        <w:spacing w:line="560" w:lineRule="exact"/>
        <w:ind w:left="0" w:leftChars="0" w:firstLine="0" w:firstLineChars="0"/>
      </w:pPr>
    </w:p>
    <w:p>
      <w:bookmarkStart w:id="13" w:name="_GoBack"/>
      <w:bookmarkEnd w:id="13"/>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公文小标宋">
    <w:altName w:val="方正小标宋_GBK"/>
    <w:panose1 w:val="02000500000000000000"/>
    <w:charset w:val="86"/>
    <w:family w:val="auto"/>
    <w:pitch w:val="default"/>
    <w:sig w:usb0="00000000" w:usb1="00000000" w:usb2="00000000" w:usb3="00000000" w:csb0="00000000"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2DD4B0"/>
    <w:multiLevelType w:val="singleLevel"/>
    <w:tmpl w:val="B12DD4B0"/>
    <w:lvl w:ilvl="0" w:tentative="0">
      <w:start w:val="2"/>
      <w:numFmt w:val="chineseCounting"/>
      <w:suff w:val="nothing"/>
      <w:lvlText w:val="（%1）"/>
      <w:lvlJc w:val="left"/>
      <w:rPr>
        <w:rFonts w:hint="eastAsia"/>
      </w:rPr>
    </w:lvl>
  </w:abstractNum>
  <w:abstractNum w:abstractNumId="1">
    <w:nsid w:val="E7857708"/>
    <w:multiLevelType w:val="singleLevel"/>
    <w:tmpl w:val="E785770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F7559"/>
    <w:rsid w:val="6FFF7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outlineLvl w:val="0"/>
    </w:pPr>
    <w:rPr>
      <w:rFonts w:eastAsia="黑体"/>
      <w:b/>
      <w:kern w:val="44"/>
      <w:sz w:val="36"/>
    </w:rPr>
  </w:style>
  <w:style w:type="paragraph" w:styleId="3">
    <w:name w:val="heading 2"/>
    <w:basedOn w:val="1"/>
    <w:next w:val="1"/>
    <w:unhideWhenUsed/>
    <w:qFormat/>
    <w:uiPriority w:val="9"/>
    <w:pPr>
      <w:keepNext/>
      <w:keepLines/>
      <w:spacing w:line="240" w:lineRule="auto"/>
      <w:ind w:firstLine="1040" w:firstLineChars="200"/>
      <w:outlineLvl w:val="1"/>
    </w:pPr>
    <w:rPr>
      <w:rFonts w:ascii="Arial" w:hAnsi="Arial" w:eastAsia="楷体_GB2312"/>
      <w:b/>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2023-03-23T14:32:00Z</dcterms:created>
  <dc:creator>renxx11</dc:creator>
  <cp:lastModifiedBy>renxx11</cp:lastModifiedBy>
  <dcterms:modified xsi:type="dcterms:W3CDTF">2023-03-23T14:32:59Z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