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28"/>
          <w:szCs w:val="28"/>
        </w:rPr>
      </w:pPr>
      <w:r>
        <w:rPr>
          <w:rFonts w:hint="eastAsia" w:ascii="仿宋" w:hAnsi="仿宋" w:eastAsia="仿宋" w:cs="仿宋"/>
          <w:sz w:val="28"/>
          <w:szCs w:val="28"/>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《深圳市龙岗区</w:t>
      </w:r>
      <w:bookmarkStart w:id="0" w:name="_Hlk86346986"/>
      <w:r>
        <w:rPr>
          <w:rFonts w:hint="eastAsia" w:asciiTheme="majorEastAsia" w:hAnsiTheme="majorEastAsia" w:eastAsiaTheme="majorEastAsia" w:cstheme="majorEastAsia"/>
          <w:sz w:val="44"/>
          <w:szCs w:val="44"/>
        </w:rPr>
        <w:t>招商引资和企业培育</w:t>
      </w:r>
      <w:bookmarkEnd w:id="0"/>
      <w:r>
        <w:rPr>
          <w:rFonts w:hint="eastAsia" w:asciiTheme="majorEastAsia" w:hAnsiTheme="majorEastAsia" w:eastAsiaTheme="majorEastAsia" w:cstheme="majorEastAsia"/>
          <w:sz w:val="44"/>
          <w:szCs w:val="44"/>
        </w:rPr>
        <w:t>专项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资金管理办法》起草说明</w:t>
      </w:r>
    </w:p>
    <w:p>
      <w:pPr>
        <w:jc w:val="center"/>
        <w:rPr>
          <w:rFonts w:ascii="仿宋" w:hAnsi="仿宋" w:eastAsia="仿宋" w:cs="仿宋"/>
          <w:sz w:val="32"/>
          <w:szCs w:val="32"/>
        </w:rPr>
      </w:pPr>
      <w:r>
        <w:rPr>
          <w:rFonts w:hint="eastAsia" w:ascii="仿宋" w:hAnsi="仿宋" w:eastAsia="仿宋" w:cs="仿宋"/>
          <w:sz w:val="32"/>
          <w:szCs w:val="32"/>
        </w:rPr>
        <w:t>（送审稿）</w:t>
      </w:r>
    </w:p>
    <w:p>
      <w:pPr>
        <w:spacing w:line="560" w:lineRule="exact"/>
        <w:jc w:val="center"/>
        <w:rPr>
          <w:rFonts w:ascii="仿宋" w:hAnsi="仿宋" w:eastAsia="仿宋" w:cs="仿宋"/>
          <w:sz w:val="32"/>
          <w:szCs w:val="32"/>
        </w:rPr>
      </w:pP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 w:hAnsi="仿宋" w:eastAsia="仿宋" w:cs="仿宋"/>
          <w:sz w:val="32"/>
          <w:szCs w:val="32"/>
        </w:rPr>
        <w:t>为加强和规范深圳市龙岗区招商引资和企业培育专项资金管理，提高财政专项资金的使用效益，根据</w:t>
      </w:r>
      <w:r>
        <w:rPr>
          <w:rFonts w:hint="eastAsia" w:ascii="仿宋_GB2312" w:hAnsi="仿宋_GB2312" w:eastAsia="仿宋_GB2312" w:cs="宋体"/>
          <w:kern w:val="0"/>
          <w:sz w:val="32"/>
          <w:szCs w:val="32"/>
        </w:rPr>
        <w:t>《中华人民共和国预算法》、《中华人民共和国预算法实施条例》、《广东省省级财政专项资金管理办法（试行）》（粤府</w:t>
      </w:r>
      <w:r>
        <w:rPr>
          <w:rFonts w:hint="eastAsia" w:ascii="仿宋_GB2312" w:hAnsi="仿宋_GB2312" w:eastAsia="仿宋_GB2312" w:cs="仿宋_GB2312"/>
          <w:kern w:val="0"/>
          <w:sz w:val="32"/>
          <w:szCs w:val="32"/>
        </w:rPr>
        <w:t>〔</w:t>
      </w:r>
      <w:r>
        <w:rPr>
          <w:rFonts w:hint="eastAsia" w:ascii="仿宋_GB2312" w:hAnsi="仿宋_GB2312" w:eastAsia="仿宋_GB2312" w:cs="宋体"/>
          <w:kern w:val="0"/>
          <w:sz w:val="32"/>
          <w:szCs w:val="32"/>
        </w:rPr>
        <w:t>2</w:t>
      </w:r>
      <w:r>
        <w:rPr>
          <w:rFonts w:ascii="仿宋_GB2312" w:hAnsi="仿宋_GB2312" w:eastAsia="仿宋_GB2312" w:cs="宋体"/>
          <w:kern w:val="0"/>
          <w:sz w:val="32"/>
          <w:szCs w:val="32"/>
        </w:rPr>
        <w:t>018</w:t>
      </w:r>
      <w:r>
        <w:rPr>
          <w:rFonts w:hint="eastAsia" w:ascii="仿宋_GB2312" w:hAnsi="仿宋_GB2312" w:eastAsia="仿宋_GB2312" w:cs="仿宋_GB2312"/>
          <w:kern w:val="0"/>
          <w:sz w:val="32"/>
          <w:szCs w:val="32"/>
        </w:rPr>
        <w:t>〕</w:t>
      </w:r>
      <w:r>
        <w:rPr>
          <w:rFonts w:hint="eastAsia" w:ascii="仿宋_GB2312" w:hAnsi="仿宋_GB2312" w:eastAsia="仿宋_GB2312" w:cs="宋体"/>
          <w:kern w:val="0"/>
          <w:sz w:val="32"/>
          <w:szCs w:val="32"/>
        </w:rPr>
        <w:t>1</w:t>
      </w:r>
      <w:r>
        <w:rPr>
          <w:rFonts w:ascii="仿宋_GB2312" w:hAnsi="仿宋_GB2312" w:eastAsia="仿宋_GB2312" w:cs="宋体"/>
          <w:kern w:val="0"/>
          <w:sz w:val="32"/>
          <w:szCs w:val="32"/>
        </w:rPr>
        <w:t>20</w:t>
      </w:r>
      <w:r>
        <w:rPr>
          <w:rFonts w:hint="eastAsia" w:ascii="仿宋_GB2312" w:hAnsi="仿宋_GB2312" w:eastAsia="仿宋_GB2312" w:cs="宋体"/>
          <w:kern w:val="0"/>
          <w:sz w:val="32"/>
          <w:szCs w:val="32"/>
        </w:rPr>
        <w:t>号）、《深圳市市级财政专项资金管理办法》（深府规</w:t>
      </w:r>
      <w:r>
        <w:rPr>
          <w:rFonts w:hint="eastAsia" w:ascii="仿宋_GB2312" w:hAnsi="仿宋_GB2312" w:eastAsia="仿宋_GB2312" w:cs="仿宋_GB2312"/>
          <w:kern w:val="0"/>
          <w:sz w:val="32"/>
          <w:szCs w:val="32"/>
        </w:rPr>
        <w:t>〔</w:t>
      </w:r>
      <w:r>
        <w:rPr>
          <w:rFonts w:hint="eastAsia" w:ascii="仿宋_GB2312" w:hAnsi="仿宋_GB2312" w:eastAsia="仿宋_GB2312" w:cs="宋体"/>
          <w:kern w:val="0"/>
          <w:sz w:val="32"/>
          <w:szCs w:val="32"/>
        </w:rPr>
        <w:t>2</w:t>
      </w:r>
      <w:r>
        <w:rPr>
          <w:rFonts w:ascii="仿宋_GB2312" w:hAnsi="仿宋_GB2312" w:eastAsia="仿宋_GB2312" w:cs="宋体"/>
          <w:kern w:val="0"/>
          <w:sz w:val="32"/>
          <w:szCs w:val="32"/>
        </w:rPr>
        <w:t>018</w:t>
      </w:r>
      <w:r>
        <w:rPr>
          <w:rFonts w:hint="eastAsia" w:ascii="仿宋_GB2312" w:hAnsi="仿宋_GB2312" w:eastAsia="仿宋_GB2312" w:cs="仿宋_GB2312"/>
          <w:kern w:val="0"/>
          <w:sz w:val="32"/>
          <w:szCs w:val="32"/>
        </w:rPr>
        <w:t>〕</w:t>
      </w:r>
      <w:r>
        <w:rPr>
          <w:rFonts w:hint="eastAsia" w:ascii="仿宋_GB2312" w:hAnsi="仿宋_GB2312" w:eastAsia="仿宋_GB2312" w:cs="宋体"/>
          <w:kern w:val="0"/>
          <w:sz w:val="32"/>
          <w:szCs w:val="32"/>
        </w:rPr>
        <w:t>1</w:t>
      </w:r>
      <w:r>
        <w:rPr>
          <w:rFonts w:ascii="仿宋_GB2312" w:hAnsi="仿宋_GB2312" w:eastAsia="仿宋_GB2312" w:cs="宋体"/>
          <w:kern w:val="0"/>
          <w:sz w:val="32"/>
          <w:szCs w:val="32"/>
        </w:rPr>
        <w:t>2</w:t>
      </w:r>
      <w:r>
        <w:rPr>
          <w:rFonts w:hint="eastAsia" w:ascii="仿宋_GB2312" w:hAnsi="仿宋_GB2312" w:eastAsia="仿宋_GB2312" w:cs="宋体"/>
          <w:kern w:val="0"/>
          <w:sz w:val="32"/>
          <w:szCs w:val="32"/>
        </w:rPr>
        <w:t>号）、《深圳市龙岗区</w:t>
      </w:r>
      <w:r>
        <w:rPr>
          <w:rFonts w:hint="eastAsia" w:ascii="仿宋_GB2312" w:hAnsi="仿宋_GB2312" w:eastAsia="仿宋_GB2312" w:cs="仿宋_GB2312"/>
          <w:sz w:val="32"/>
          <w:szCs w:val="32"/>
        </w:rPr>
        <w:t>区级财政专项资金管理办法</w:t>
      </w:r>
      <w:r>
        <w:rPr>
          <w:rFonts w:hint="eastAsia" w:ascii="仿宋_GB2312" w:hAnsi="仿宋_GB2312" w:eastAsia="仿宋_GB2312" w:cs="宋体"/>
          <w:kern w:val="0"/>
          <w:sz w:val="32"/>
          <w:szCs w:val="32"/>
        </w:rPr>
        <w:t>》（</w:t>
      </w:r>
      <w:r>
        <w:rPr>
          <w:rFonts w:hint="eastAsia" w:ascii="仿宋_GB2312" w:hAnsi="黑体" w:eastAsia="仿宋_GB2312" w:cs="宋体"/>
          <w:kern w:val="0"/>
          <w:sz w:val="32"/>
          <w:szCs w:val="32"/>
        </w:rPr>
        <w:t>深龙府规〔2021〕1号</w:t>
      </w:r>
      <w:r>
        <w:rPr>
          <w:rFonts w:hint="eastAsia" w:ascii="仿宋_GB2312" w:hAnsi="仿宋_GB2312" w:eastAsia="仿宋_GB2312" w:cs="宋体"/>
          <w:kern w:val="0"/>
          <w:sz w:val="32"/>
          <w:szCs w:val="32"/>
        </w:rPr>
        <w:t>）等</w:t>
      </w:r>
      <w:r>
        <w:rPr>
          <w:rFonts w:hint="eastAsia" w:ascii="仿宋" w:hAnsi="仿宋" w:eastAsia="仿宋" w:cs="仿宋"/>
          <w:kern w:val="0"/>
          <w:sz w:val="32"/>
          <w:szCs w:val="32"/>
        </w:rPr>
        <w:t>有关规定，结合龙岗区实际，区投资推广和企业服务中心会同区财政局起草了《深圳市龙岗区</w:t>
      </w:r>
      <w:bookmarkStart w:id="1" w:name="_Hlk86347031"/>
      <w:r>
        <w:rPr>
          <w:rFonts w:hint="eastAsia" w:ascii="仿宋" w:hAnsi="仿宋" w:eastAsia="仿宋" w:cs="仿宋"/>
          <w:kern w:val="0"/>
          <w:sz w:val="32"/>
          <w:szCs w:val="32"/>
        </w:rPr>
        <w:t>招商引资和企业培育</w:t>
      </w:r>
      <w:bookmarkEnd w:id="1"/>
      <w:r>
        <w:rPr>
          <w:rFonts w:hint="eastAsia" w:ascii="仿宋" w:hAnsi="仿宋" w:eastAsia="仿宋" w:cs="仿宋"/>
          <w:kern w:val="0"/>
          <w:sz w:val="32"/>
          <w:szCs w:val="32"/>
        </w:rPr>
        <w:t>专项资金管理办法（征求意见稿）》（</w:t>
      </w:r>
      <w:r>
        <w:rPr>
          <w:rFonts w:hint="eastAsia" w:ascii="仿宋" w:hAnsi="仿宋" w:eastAsia="仿宋" w:cs="仿宋"/>
          <w:sz w:val="32"/>
          <w:szCs w:val="32"/>
        </w:rPr>
        <w:t>以下简称“《办法》”</w:t>
      </w:r>
      <w:r>
        <w:rPr>
          <w:rFonts w:hint="eastAsia" w:ascii="仿宋" w:hAnsi="仿宋" w:eastAsia="仿宋" w:cs="仿宋"/>
          <w:kern w:val="0"/>
          <w:sz w:val="32"/>
          <w:szCs w:val="32"/>
        </w:rPr>
        <w:t>），</w:t>
      </w:r>
      <w:r>
        <w:rPr>
          <w:rFonts w:hint="eastAsia" w:ascii="仿宋_GB2312" w:hAnsi="仿宋_GB2312" w:eastAsia="仿宋_GB2312" w:cs="仿宋_GB2312"/>
          <w:sz w:val="32"/>
          <w:szCs w:val="32"/>
        </w:rPr>
        <w:t>经征求相关部门、社会公众意见并完善，形成了《</w:t>
      </w:r>
      <w:r>
        <w:rPr>
          <w:rFonts w:hint="eastAsia" w:ascii="仿宋" w:hAnsi="仿宋" w:eastAsia="仿宋" w:cs="仿宋"/>
          <w:kern w:val="0"/>
          <w:sz w:val="32"/>
          <w:szCs w:val="32"/>
        </w:rPr>
        <w:t>深圳市龙岗区招商引资和企业培育专项资金管理办法</w:t>
      </w:r>
      <w:r>
        <w:rPr>
          <w:rFonts w:hint="eastAsia" w:ascii="仿宋_GB2312" w:hAnsi="仿宋_GB2312" w:eastAsia="仿宋_GB2312" w:cs="仿宋_GB2312"/>
          <w:sz w:val="32"/>
          <w:szCs w:val="32"/>
        </w:rPr>
        <w:t>（送审稿）》。</w:t>
      </w:r>
    </w:p>
    <w:p>
      <w:pPr>
        <w:pStyle w:val="2"/>
        <w:keepNext w:val="0"/>
        <w:keepLines w:val="0"/>
        <w:pageBreakBefore w:val="0"/>
        <w:widowControl w:val="0"/>
        <w:numPr>
          <w:ilvl w:val="0"/>
          <w:numId w:val="1"/>
        </w:numPr>
        <w:kinsoku/>
        <w:wordWrap/>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起草背景和必要性</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 w:hAnsi="仿宋" w:eastAsia="仿宋" w:cs="仿宋"/>
          <w:sz w:val="32"/>
          <w:szCs w:val="32"/>
        </w:rPr>
        <w:t>近年来，</w:t>
      </w:r>
      <w:r>
        <w:rPr>
          <w:rFonts w:hint="eastAsia" w:ascii="仿宋" w:hAnsi="仿宋" w:eastAsia="仿宋" w:cs="仿宋"/>
          <w:kern w:val="0"/>
          <w:sz w:val="32"/>
          <w:szCs w:val="44"/>
        </w:rPr>
        <w:t>随着财政管理制度改革的深入以及形势的变化，尤其是</w:t>
      </w:r>
      <w:r>
        <w:rPr>
          <w:rFonts w:hint="eastAsia" w:ascii="仿宋_GB2312" w:hAnsi="仿宋_GB2312" w:eastAsia="仿宋_GB2312" w:cs="仿宋_GB2312"/>
          <w:sz w:val="32"/>
          <w:szCs w:val="32"/>
        </w:rPr>
        <w:t>新版《中华人民共和国预算法》</w:t>
      </w:r>
      <w:r>
        <w:rPr>
          <w:rFonts w:hint="eastAsia" w:ascii="仿宋" w:hAnsi="仿宋" w:eastAsia="仿宋" w:cs="仿宋"/>
          <w:kern w:val="0"/>
          <w:sz w:val="32"/>
          <w:szCs w:val="44"/>
        </w:rPr>
        <w:t>出台之后，财政政策对规范财政专项资金管理提出了更高的要求，</w:t>
      </w:r>
      <w:r>
        <w:rPr>
          <w:rFonts w:hint="eastAsia" w:ascii="仿宋_GB2312" w:hAnsi="仿宋_GB2312" w:eastAsia="仿宋_GB2312" w:cs="仿宋_GB2312"/>
          <w:sz w:val="32"/>
          <w:szCs w:val="32"/>
        </w:rPr>
        <w:t>强调各部门、各单位是本部门、本单位的预算执行主体，负责本部门、本单位的预算执行，并对执行结果负责，即明确“谁使用、谁负责”。同时，强调要改进专项资金项目支出预算管理，全面实施预算绩效管理。</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 w:hAnsi="仿宋" w:eastAsia="仿宋"/>
          <w:sz w:val="32"/>
          <w:szCs w:val="36"/>
        </w:rPr>
      </w:pPr>
      <w:r>
        <w:rPr>
          <w:rFonts w:hint="eastAsia" w:ascii="仿宋" w:hAnsi="仿宋" w:eastAsia="仿宋"/>
          <w:sz w:val="32"/>
          <w:szCs w:val="36"/>
        </w:rPr>
        <w:t>2021年1月6日，区政府印发《深圳市龙岗区区级财政专项资金管理办法》（深龙府规〔2021〕1号），明确各资金主管部门是专项资金管理执行部门，负责制定具体的专项资金管理制度。</w:t>
      </w:r>
    </w:p>
    <w:p>
      <w:pPr>
        <w:keepNext w:val="0"/>
        <w:keepLines w:val="0"/>
        <w:pageBreakBefore w:val="0"/>
        <w:widowControl w:val="0"/>
        <w:kinsoku/>
        <w:wordWrap/>
        <w:topLinePunct w:val="0"/>
        <w:autoSpaceDE/>
        <w:autoSpaceDN/>
        <w:bidi w:val="0"/>
        <w:spacing w:line="560" w:lineRule="exact"/>
        <w:ind w:firstLine="640" w:firstLineChars="200"/>
        <w:textAlignment w:val="auto"/>
      </w:pPr>
      <w:r>
        <w:rPr>
          <w:rFonts w:hint="eastAsia" w:ascii="仿宋" w:hAnsi="仿宋" w:eastAsia="仿宋"/>
          <w:sz w:val="32"/>
          <w:szCs w:val="36"/>
        </w:rPr>
        <w:t>根据上述相关法律要求及文件精神，在区级财政专项资金管理改革总体框架下，按照“一个部门一个专项资金”的原则，《深圳市龙岗区经济与科技发展</w:t>
      </w:r>
      <w:r>
        <w:rPr>
          <w:rFonts w:ascii="仿宋" w:hAnsi="仿宋" w:eastAsia="仿宋"/>
          <w:sz w:val="32"/>
          <w:szCs w:val="36"/>
        </w:rPr>
        <w:t>专项资金管理办法</w:t>
      </w:r>
      <w:r>
        <w:rPr>
          <w:rFonts w:hint="eastAsia" w:ascii="仿宋" w:hAnsi="仿宋" w:eastAsia="仿宋"/>
          <w:sz w:val="32"/>
          <w:szCs w:val="36"/>
        </w:rPr>
        <w:t>》</w:t>
      </w:r>
      <w:r>
        <w:rPr>
          <w:rFonts w:hint="eastAsia" w:ascii="仿宋_GB2312" w:hAnsi="仿宋_GB2312" w:eastAsia="仿宋_GB2312"/>
          <w:sz w:val="32"/>
          <w:szCs w:val="28"/>
        </w:rPr>
        <w:t>的制定主体及管理模式已不符合区级财政专项资金管理办法</w:t>
      </w:r>
      <w:r>
        <w:rPr>
          <w:rFonts w:hint="eastAsia" w:ascii="仿宋" w:hAnsi="仿宋" w:eastAsia="仿宋"/>
          <w:sz w:val="32"/>
          <w:szCs w:val="32"/>
        </w:rPr>
        <w:t>。</w:t>
      </w:r>
      <w:r>
        <w:rPr>
          <w:rFonts w:hint="eastAsia" w:ascii="仿宋_GB2312" w:eastAsia="仿宋_GB2312"/>
          <w:sz w:val="32"/>
          <w:szCs w:val="32"/>
        </w:rPr>
        <w:t>2021年7月19日，</w:t>
      </w:r>
      <w:r>
        <w:rPr>
          <w:rFonts w:hint="eastAsia" w:ascii="仿宋_GB2312" w:eastAsia="仿宋_GB2312" w:cs="仿宋_GB2312"/>
          <w:kern w:val="0"/>
          <w:sz w:val="32"/>
          <w:szCs w:val="32"/>
        </w:rPr>
        <w:t>根据《关于明确区投资推广和企业服务中心机构编制事项的通知》（深龙编〔2021〕18号），区投资推广和企业服务中心成立，是区政府直属一级事业单位。结合实际工作开展情况，我中心主要负责龙岗区</w:t>
      </w:r>
      <w:r>
        <w:rPr>
          <w:rFonts w:hint="eastAsia" w:ascii="仿宋_GB2312" w:hAnsi="仿宋_GB2312" w:eastAsia="仿宋_GB2312" w:cs="华文仿宋"/>
          <w:kern w:val="0"/>
          <w:sz w:val="32"/>
          <w:szCs w:val="32"/>
        </w:rPr>
        <w:t>招商引资领域和企业培育领域扶持政策的制定和受理。</w:t>
      </w:r>
      <w:r>
        <w:rPr>
          <w:rFonts w:hint="eastAsia" w:ascii="仿宋" w:hAnsi="仿宋" w:eastAsia="仿宋"/>
          <w:sz w:val="32"/>
          <w:szCs w:val="36"/>
        </w:rPr>
        <w:t>为加强专项资金管理、规范</w:t>
      </w:r>
      <w:r>
        <w:rPr>
          <w:rFonts w:hint="eastAsia" w:ascii="仿宋" w:hAnsi="仿宋" w:eastAsia="仿宋" w:cs="仿宋"/>
          <w:kern w:val="0"/>
          <w:sz w:val="32"/>
          <w:szCs w:val="44"/>
        </w:rPr>
        <w:t>专项资金项目、提高专项资金使用效益，有必要</w:t>
      </w:r>
      <w:r>
        <w:rPr>
          <w:rFonts w:hint="eastAsia" w:ascii="仿宋" w:hAnsi="仿宋" w:eastAsia="仿宋"/>
          <w:sz w:val="32"/>
          <w:szCs w:val="36"/>
        </w:rPr>
        <w:t>出台投资推广和企业服务部门招商引资和企业培育专项资金管理办法。</w:t>
      </w:r>
    </w:p>
    <w:p>
      <w:pPr>
        <w:pStyle w:val="2"/>
        <w:keepNext w:val="0"/>
        <w:keepLines w:val="0"/>
        <w:pageBreakBefore w:val="0"/>
        <w:widowControl w:val="0"/>
        <w:numPr>
          <w:ilvl w:val="0"/>
          <w:numId w:val="1"/>
        </w:numPr>
        <w:kinsoku/>
        <w:wordWrap/>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制定过程</w:t>
      </w:r>
    </w:p>
    <w:p>
      <w:pPr>
        <w:keepNext w:val="0"/>
        <w:keepLines w:val="0"/>
        <w:pageBreakBefore w:val="0"/>
        <w:widowControl w:val="0"/>
        <w:kinsoku/>
        <w:wordWrap/>
        <w:topLinePunct w:val="0"/>
        <w:autoSpaceDE/>
        <w:autoSpaceDN/>
        <w:bidi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 w:hAnsi="仿宋" w:eastAsia="仿宋" w:cs="仿宋"/>
          <w:color w:val="000000"/>
          <w:sz w:val="32"/>
          <w:szCs w:val="32"/>
        </w:rPr>
        <w:t>（一）研究起草。</w:t>
      </w:r>
      <w:r>
        <w:rPr>
          <w:rFonts w:hint="eastAsia" w:ascii="仿宋_GB2312" w:hAnsi="仿宋_GB2312" w:eastAsia="仿宋_GB2312" w:cs="仿宋_GB2312"/>
          <w:sz w:val="32"/>
          <w:szCs w:val="32"/>
        </w:rPr>
        <w:t>区投资推广和企业服务中心多次召开内部研讨会，</w:t>
      </w:r>
      <w:r>
        <w:rPr>
          <w:rFonts w:hint="eastAsia" w:ascii="仿宋_GB2312" w:hAnsi="仿宋_GB2312" w:eastAsia="仿宋_GB2312" w:cs="仿宋_GB2312"/>
          <w:color w:val="000000"/>
          <w:sz w:val="32"/>
          <w:szCs w:val="32"/>
        </w:rPr>
        <w:t>对本部门</w:t>
      </w:r>
      <w:r>
        <w:rPr>
          <w:rFonts w:hint="eastAsia" w:ascii="仿宋_GB2312" w:hAnsi="仿宋_GB2312" w:eastAsia="仿宋_GB2312" w:cs="仿宋_GB2312"/>
          <w:sz w:val="32"/>
          <w:szCs w:val="32"/>
        </w:rPr>
        <w:t>政策实施情况进行梳理，结合产业发展实际和工作重点，并</w:t>
      </w:r>
      <w:r>
        <w:rPr>
          <w:rFonts w:hint="eastAsia" w:ascii="仿宋_GB2312" w:hAnsi="仿宋_GB2312" w:eastAsia="仿宋_GB2312" w:cs="仿宋_GB2312"/>
          <w:color w:val="000000"/>
          <w:sz w:val="32"/>
          <w:szCs w:val="32"/>
        </w:rPr>
        <w:t>对照</w:t>
      </w:r>
      <w:r>
        <w:rPr>
          <w:rFonts w:hint="eastAsia" w:ascii="仿宋_GB2312" w:hAnsi="仿宋_GB2312" w:eastAsia="仿宋_GB2312" w:cs="仿宋_GB2312"/>
          <w:sz w:val="32"/>
          <w:szCs w:val="32"/>
        </w:rPr>
        <w:t>区级财政资金管理办法</w:t>
      </w:r>
      <w:r>
        <w:rPr>
          <w:rFonts w:hint="eastAsia" w:ascii="仿宋_GB2312" w:hAnsi="仿宋_GB2312" w:eastAsia="仿宋_GB2312" w:cs="仿宋_GB2312"/>
          <w:color w:val="000000"/>
          <w:sz w:val="32"/>
          <w:szCs w:val="32"/>
        </w:rPr>
        <w:t>相关规定，和市商务局、区工信局等部门积极对接商议，会同区财政局研究起草了</w:t>
      </w:r>
      <w:r>
        <w:rPr>
          <w:rFonts w:hint="eastAsia" w:ascii="仿宋" w:hAnsi="仿宋" w:eastAsia="仿宋" w:cs="仿宋"/>
          <w:sz w:val="32"/>
          <w:szCs w:val="32"/>
        </w:rPr>
        <w:t>《办法》</w:t>
      </w:r>
      <w:r>
        <w:rPr>
          <w:rFonts w:hint="eastAsia" w:ascii="仿宋_GB2312" w:hAnsi="仿宋_GB2312" w:eastAsia="仿宋_GB2312" w:cs="仿宋_GB2312"/>
          <w:color w:val="000000"/>
          <w:sz w:val="32"/>
          <w:szCs w:val="32"/>
        </w:rPr>
        <w:t>（征求意见稿）</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autoSpaceDE/>
        <w:autoSpaceDN/>
        <w:bidi w:val="0"/>
        <w:spacing w:line="560" w:lineRule="exact"/>
        <w:ind w:firstLine="645"/>
        <w:textAlignment w:val="auto"/>
        <w:rPr>
          <w:rFonts w:ascii="仿宋_GB2312" w:hAnsi="仿宋_GB2312" w:eastAsia="仿宋_GB2312" w:cs="仿宋_GB2312"/>
          <w:sz w:val="32"/>
          <w:szCs w:val="32"/>
        </w:rPr>
      </w:pPr>
      <w:r>
        <w:rPr>
          <w:rFonts w:hint="eastAsia" w:ascii="仿宋" w:hAnsi="仿宋" w:eastAsia="仿宋" w:cs="仿宋"/>
          <w:color w:val="000000"/>
          <w:sz w:val="32"/>
          <w:szCs w:val="32"/>
        </w:rPr>
        <w:t>（二）征求意见。</w:t>
      </w:r>
      <w:r>
        <w:rPr>
          <w:rFonts w:hint="eastAsia" w:ascii="仿宋_GB2312" w:hAnsi="仿宋_GB2312" w:eastAsia="仿宋_GB2312" w:cs="仿宋_GB2312"/>
          <w:color w:val="000000"/>
          <w:sz w:val="32"/>
          <w:szCs w:val="32"/>
        </w:rPr>
        <w:t>根据规范性文件编制流程要求，</w:t>
      </w:r>
      <w:r>
        <w:rPr>
          <w:rFonts w:hint="eastAsia" w:ascii="仿宋_GB2312" w:hAnsi="仿宋_GB2312" w:eastAsia="仿宋_GB2312" w:cs="仿宋_GB2312"/>
          <w:sz w:val="32"/>
          <w:szCs w:val="32"/>
        </w:rPr>
        <w:t>区投资推广和企业服务中心</w:t>
      </w:r>
      <w:r>
        <w:rPr>
          <w:rFonts w:hint="eastAsia" w:ascii="仿宋" w:hAnsi="仿宋" w:eastAsia="仿宋" w:cs="仿宋"/>
          <w:sz w:val="32"/>
          <w:szCs w:val="32"/>
        </w:rPr>
        <w:t>于XX月XX日</w:t>
      </w:r>
      <w:r>
        <w:rPr>
          <w:rFonts w:hint="eastAsia" w:ascii="仿宋_GB2312" w:hAnsi="仿宋_GB2312" w:eastAsia="仿宋_GB2312" w:cs="仿宋_GB2312"/>
          <w:sz w:val="32"/>
          <w:szCs w:val="32"/>
        </w:rPr>
        <w:t>发函征求</w:t>
      </w:r>
      <w:r>
        <w:rPr>
          <w:rFonts w:hint="eastAsia" w:ascii="仿宋" w:hAnsi="仿宋" w:eastAsia="仿宋" w:cs="仿宋"/>
          <w:sz w:val="32"/>
          <w:szCs w:val="32"/>
        </w:rPr>
        <w:t>区发改局、区科创局、区工信局、区财政局、区文化广电旅游体育局、区司法局、区审计局等相关单位意见，共反馈了XX条意见，我局采纳或与相关单位意见达成一致。</w:t>
      </w:r>
      <w:r>
        <w:rPr>
          <w:rFonts w:hint="eastAsia" w:ascii="仿宋_GB2312" w:hAnsi="仿宋_GB2312" w:eastAsia="仿宋_GB2312" w:cs="仿宋_GB2312"/>
          <w:sz w:val="32"/>
          <w:szCs w:val="32"/>
        </w:rPr>
        <w:t>同时</w:t>
      </w:r>
      <w:r>
        <w:rPr>
          <w:rFonts w:hint="eastAsia" w:ascii="仿宋" w:hAnsi="仿宋" w:eastAsia="仿宋" w:cs="仿宋"/>
          <w:sz w:val="32"/>
          <w:szCs w:val="32"/>
        </w:rPr>
        <w:t>于XX月XX日至XX月XX日</w:t>
      </w:r>
      <w:r>
        <w:rPr>
          <w:rFonts w:hint="eastAsia" w:ascii="仿宋_GB2312" w:hAnsi="仿宋_GB2312" w:eastAsia="仿宋_GB2312" w:cs="仿宋_GB2312"/>
          <w:sz w:val="32"/>
          <w:szCs w:val="32"/>
        </w:rPr>
        <w:t>通过</w:t>
      </w:r>
      <w:r>
        <w:rPr>
          <w:rFonts w:hint="eastAsia" w:ascii="仿宋" w:hAnsi="仿宋" w:eastAsia="仿宋" w:cs="仿宋"/>
          <w:sz w:val="32"/>
          <w:szCs w:val="32"/>
        </w:rPr>
        <w:t>龙岗政府在线、区投资推广和企业服务中心官网广泛征求社会公众意见，并于XX月XX日-XX月XX日通过区行政服务大厅公告栏公开征求意见，</w:t>
      </w:r>
      <w:r>
        <w:rPr>
          <w:rFonts w:hint="eastAsia" w:ascii="仿宋_GB2312" w:hAnsi="仿宋_GB2312" w:eastAsia="仿宋_GB2312" w:cs="仿宋_GB2312"/>
          <w:sz w:val="32"/>
          <w:szCs w:val="32"/>
        </w:rPr>
        <w:t>未收到公众意见反馈。</w:t>
      </w:r>
      <w:r>
        <w:rPr>
          <w:rFonts w:hint="eastAsia" w:ascii="仿宋_GB2312" w:hAnsi="仿宋_GB2312" w:eastAsia="仿宋_GB2312" w:cs="仿宋_GB2312"/>
          <w:color w:val="000000"/>
          <w:sz w:val="32"/>
          <w:szCs w:val="32"/>
        </w:rPr>
        <w:t>经梳理汇总上述意见并</w:t>
      </w:r>
      <w:r>
        <w:rPr>
          <w:rFonts w:hint="eastAsia" w:ascii="仿宋_GB2312" w:hAnsi="仿宋_GB2312" w:eastAsia="仿宋_GB2312" w:cs="仿宋_GB2312"/>
          <w:sz w:val="32"/>
          <w:szCs w:val="32"/>
        </w:rPr>
        <w:t>修改完善，形成</w:t>
      </w:r>
      <w:r>
        <w:rPr>
          <w:rFonts w:hint="eastAsia" w:ascii="仿宋" w:hAnsi="仿宋" w:eastAsia="仿宋" w:cs="仿宋"/>
          <w:sz w:val="32"/>
          <w:szCs w:val="32"/>
        </w:rPr>
        <w:t>《办法》</w:t>
      </w:r>
      <w:r>
        <w:rPr>
          <w:rFonts w:hint="eastAsia" w:ascii="仿宋_GB2312" w:hAnsi="仿宋_GB2312" w:eastAsia="仿宋_GB2312" w:cs="仿宋_GB2312"/>
          <w:sz w:val="32"/>
          <w:szCs w:val="32"/>
        </w:rPr>
        <w:t>（修改稿）。</w:t>
      </w:r>
    </w:p>
    <w:p>
      <w:pPr>
        <w:keepNext w:val="0"/>
        <w:keepLines w:val="0"/>
        <w:pageBreakBefore w:val="0"/>
        <w:widowControl w:val="0"/>
        <w:kinsoku/>
        <w:wordWrap/>
        <w:topLinePunct w:val="0"/>
        <w:autoSpaceDE/>
        <w:autoSpaceDN/>
        <w:bidi w:val="0"/>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 w:hAnsi="仿宋" w:eastAsia="仿宋" w:cs="仿宋"/>
          <w:color w:val="000000"/>
          <w:sz w:val="32"/>
          <w:szCs w:val="32"/>
        </w:rPr>
        <w:t>（三）公平竞争审查。</w:t>
      </w:r>
      <w:r>
        <w:rPr>
          <w:rFonts w:hint="eastAsia" w:ascii="仿宋_GB2312" w:hAnsi="仿宋_GB2312" w:eastAsia="仿宋_GB2312" w:cs="仿宋_GB2312"/>
          <w:sz w:val="32"/>
          <w:szCs w:val="32"/>
        </w:rPr>
        <w:t>区投资推广和企业服务中心根据相关要求进行了公平竞争审查。经查，</w:t>
      </w:r>
      <w:r>
        <w:rPr>
          <w:rFonts w:hint="eastAsia" w:ascii="仿宋" w:hAnsi="仿宋" w:eastAsia="仿宋" w:cs="仿宋"/>
          <w:sz w:val="32"/>
          <w:szCs w:val="32"/>
        </w:rPr>
        <w:t>《办法》</w:t>
      </w:r>
      <w:r>
        <w:rPr>
          <w:rFonts w:hint="eastAsia" w:ascii="仿宋_GB2312" w:hAnsi="仿宋_GB2312" w:eastAsia="仿宋_GB2312" w:cs="仿宋_GB2312"/>
          <w:sz w:val="32"/>
          <w:szCs w:val="32"/>
        </w:rPr>
        <w:t>（修改稿）符合公平竞争要求。</w:t>
      </w:r>
    </w:p>
    <w:p>
      <w:pPr>
        <w:keepNext w:val="0"/>
        <w:keepLines w:val="0"/>
        <w:pageBreakBefore w:val="0"/>
        <w:widowControl w:val="0"/>
        <w:kinsoku/>
        <w:wordWrap/>
        <w:topLinePunct w:val="0"/>
        <w:autoSpaceDE/>
        <w:autoSpaceDN/>
        <w:bidi w:val="0"/>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 w:hAnsi="仿宋" w:eastAsia="仿宋" w:cs="仿宋"/>
          <w:color w:val="000000"/>
          <w:sz w:val="32"/>
          <w:szCs w:val="32"/>
        </w:rPr>
        <w:t>（四）合法性审查。</w:t>
      </w:r>
      <w:r>
        <w:rPr>
          <w:rFonts w:hint="eastAsia" w:ascii="仿宋_GB2312" w:hAnsi="仿宋_GB2312" w:eastAsia="仿宋_GB2312" w:cs="仿宋_GB2312"/>
          <w:sz w:val="32"/>
          <w:szCs w:val="32"/>
        </w:rPr>
        <w:t>根据规范性文件编制流程要求，区投资推广和企业服务中心对</w:t>
      </w:r>
      <w:r>
        <w:rPr>
          <w:rFonts w:hint="eastAsia" w:ascii="仿宋" w:hAnsi="仿宋" w:eastAsia="仿宋" w:cs="仿宋"/>
          <w:sz w:val="32"/>
          <w:szCs w:val="32"/>
        </w:rPr>
        <w:t>《办法》</w:t>
      </w:r>
      <w:r>
        <w:rPr>
          <w:rFonts w:hint="eastAsia" w:ascii="仿宋_GB2312" w:hAnsi="仿宋_GB2312" w:eastAsia="仿宋_GB2312" w:cs="仿宋_GB2312"/>
          <w:sz w:val="32"/>
          <w:szCs w:val="32"/>
        </w:rPr>
        <w:t>（修改稿）开展了合法性审查。</w:t>
      </w:r>
    </w:p>
    <w:p>
      <w:pPr>
        <w:keepNext w:val="0"/>
        <w:keepLines w:val="0"/>
        <w:pageBreakBefore w:val="0"/>
        <w:widowControl w:val="0"/>
        <w:kinsoku/>
        <w:wordWrap/>
        <w:topLinePunct w:val="0"/>
        <w:autoSpaceDE/>
        <w:autoSpaceDN/>
        <w:bidi w:val="0"/>
        <w:snapToGrid w:val="0"/>
        <w:spacing w:line="560" w:lineRule="exact"/>
        <w:ind w:firstLine="640" w:firstLineChars="200"/>
        <w:jc w:val="left"/>
        <w:textAlignment w:val="auto"/>
        <w:rPr>
          <w:rFonts w:ascii="黑体" w:hAnsi="黑体" w:eastAsia="黑体" w:cs="黑体"/>
          <w:sz w:val="32"/>
          <w:szCs w:val="32"/>
        </w:rPr>
      </w:pPr>
      <w:r>
        <w:rPr>
          <w:rFonts w:hint="eastAsia" w:ascii="仿宋" w:hAnsi="仿宋" w:eastAsia="仿宋" w:cs="仿宋"/>
          <w:color w:val="000000"/>
          <w:sz w:val="32"/>
          <w:szCs w:val="32"/>
        </w:rPr>
        <w:t>（五）集体讨论。</w:t>
      </w:r>
      <w:r>
        <w:rPr>
          <w:rFonts w:hint="eastAsia" w:ascii="仿宋" w:hAnsi="仿宋" w:eastAsia="仿宋" w:cs="仿宋"/>
          <w:sz w:val="32"/>
          <w:szCs w:val="32"/>
        </w:rPr>
        <w:t>《办法》</w:t>
      </w:r>
      <w:r>
        <w:rPr>
          <w:rFonts w:hint="eastAsia" w:ascii="仿宋_GB2312" w:hAnsi="仿宋_GB2312" w:eastAsia="仿宋_GB2312" w:cs="仿宋_GB2312"/>
          <w:sz w:val="32"/>
          <w:szCs w:val="32"/>
        </w:rPr>
        <w:t>（修改稿）分别经区投资推广和企业服务中心、区财政局党组会集体讨论通过，综合讨论意见完善后形成</w:t>
      </w:r>
      <w:r>
        <w:rPr>
          <w:rFonts w:hint="eastAsia" w:ascii="仿宋" w:hAnsi="仿宋" w:eastAsia="仿宋" w:cs="仿宋"/>
          <w:sz w:val="32"/>
          <w:szCs w:val="32"/>
        </w:rPr>
        <w:t>《办法》</w:t>
      </w:r>
      <w:r>
        <w:rPr>
          <w:rFonts w:hint="eastAsia" w:ascii="仿宋_GB2312" w:hAnsi="仿宋_GB2312" w:eastAsia="仿宋_GB2312" w:cs="仿宋_GB2312"/>
          <w:sz w:val="32"/>
          <w:szCs w:val="32"/>
        </w:rPr>
        <w:t>（送审稿）。</w:t>
      </w:r>
    </w:p>
    <w:p>
      <w:pPr>
        <w:pStyle w:val="2"/>
        <w:keepNext w:val="0"/>
        <w:keepLines w:val="0"/>
        <w:pageBreakBefore w:val="0"/>
        <w:widowControl w:val="0"/>
        <w:numPr>
          <w:ilvl w:val="0"/>
          <w:numId w:val="1"/>
        </w:numPr>
        <w:kinsoku/>
        <w:wordWrap/>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编制原则</w:t>
      </w:r>
    </w:p>
    <w:p>
      <w:pPr>
        <w:pStyle w:val="2"/>
        <w:keepNext w:val="0"/>
        <w:keepLines w:val="0"/>
        <w:pageBreakBefore w:val="0"/>
        <w:widowControl w:val="0"/>
        <w:kinsoku/>
        <w:wordWrap/>
        <w:topLinePunct w:val="0"/>
        <w:autoSpaceDE/>
        <w:autoSpaceDN/>
        <w:bidi w:val="0"/>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（一）突出资金主管部门责任主体</w:t>
      </w:r>
    </w:p>
    <w:p>
      <w:pPr>
        <w:keepNext w:val="0"/>
        <w:keepLines w:val="0"/>
        <w:pageBreakBefore w:val="0"/>
        <w:widowControl w:val="0"/>
        <w:kinsoku/>
        <w:wordWrap/>
        <w:topLinePunct w:val="0"/>
        <w:autoSpaceDE/>
        <w:autoSpaceDN/>
        <w:bidi w:val="0"/>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sz w:val="32"/>
          <w:szCs w:val="36"/>
        </w:rPr>
        <w:t>相关法律要求及文件精</w:t>
      </w:r>
      <w:r>
        <w:rPr>
          <w:rFonts w:hint="eastAsia" w:ascii="仿宋" w:hAnsi="仿宋" w:eastAsia="仿宋" w:cs="仿宋"/>
          <w:sz w:val="32"/>
          <w:szCs w:val="32"/>
        </w:rPr>
        <w:t>神，按照“一个部门一个专项资金”原则，对财政部门、资金主管部门的职责进行了细化，明确了职责范围，突出了资金主管部门的主体责任。</w:t>
      </w:r>
    </w:p>
    <w:p>
      <w:pPr>
        <w:pStyle w:val="2"/>
        <w:keepNext w:val="0"/>
        <w:keepLines w:val="0"/>
        <w:pageBreakBefore w:val="0"/>
        <w:widowControl w:val="0"/>
        <w:kinsoku/>
        <w:wordWrap/>
        <w:topLinePunct w:val="0"/>
        <w:autoSpaceDE/>
        <w:autoSpaceDN/>
        <w:bidi w:val="0"/>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（二）加强专项资金预算管理与绩效评价</w:t>
      </w:r>
    </w:p>
    <w:p>
      <w:pPr>
        <w:pStyle w:val="2"/>
        <w:keepNext w:val="0"/>
        <w:keepLines w:val="0"/>
        <w:pageBreakBefore w:val="0"/>
        <w:widowControl w:val="0"/>
        <w:kinsoku/>
        <w:wordWrap/>
        <w:topLinePunct w:val="0"/>
        <w:autoSpaceDE/>
        <w:autoSpaceDN/>
        <w:bidi w:val="0"/>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进一步规范细化预算管理、项目管理、绩效管理、监督检查等专项资金管理链条，建立专项资金管理闭环，突出预算管理，全面实施绩效评价。通过细化预算编制、预算规划保障预算执行，提高专项资金预算的科学性与执行率。在预算编制阶段同步提交资金绩效目标，将绩效目标作为专项资金预算执行、项目运行监控和绩效评价的依据，提升专项资金使用效益。</w:t>
      </w:r>
    </w:p>
    <w:p>
      <w:pPr>
        <w:pStyle w:val="2"/>
        <w:keepNext w:val="0"/>
        <w:keepLines w:val="0"/>
        <w:pageBreakBefore w:val="0"/>
        <w:widowControl w:val="0"/>
        <w:kinsoku/>
        <w:wordWrap/>
        <w:topLinePunct w:val="0"/>
        <w:autoSpaceDE/>
        <w:autoSpaceDN/>
        <w:bidi w:val="0"/>
        <w:spacing w:line="560" w:lineRule="exact"/>
        <w:ind w:firstLine="641"/>
        <w:textAlignment w:val="auto"/>
        <w:rPr>
          <w:rFonts w:ascii="仿宋" w:hAnsi="仿宋" w:eastAsia="仿宋" w:cs="仿宋"/>
          <w:sz w:val="32"/>
          <w:szCs w:val="32"/>
        </w:rPr>
      </w:pPr>
      <w:r>
        <w:rPr>
          <w:rFonts w:hint="eastAsia" w:ascii="仿宋" w:hAnsi="仿宋" w:eastAsia="仿宋" w:cs="仿宋"/>
          <w:sz w:val="32"/>
          <w:szCs w:val="32"/>
        </w:rPr>
        <w:t>（三）强化资金使用监督与第三方机构监管</w:t>
      </w:r>
    </w:p>
    <w:p>
      <w:pPr>
        <w:pStyle w:val="2"/>
        <w:keepNext w:val="0"/>
        <w:keepLines w:val="0"/>
        <w:pageBreakBefore w:val="0"/>
        <w:widowControl w:val="0"/>
        <w:kinsoku/>
        <w:wordWrap/>
        <w:topLinePunct w:val="0"/>
        <w:autoSpaceDE/>
        <w:autoSpaceDN/>
        <w:bidi w:val="0"/>
        <w:spacing w:line="560" w:lineRule="exact"/>
        <w:ind w:firstLine="641"/>
        <w:textAlignment w:val="auto"/>
        <w:rPr>
          <w:rFonts w:ascii="仿宋" w:hAnsi="仿宋" w:eastAsia="仿宋" w:cs="仿宋"/>
          <w:sz w:val="32"/>
          <w:szCs w:val="32"/>
        </w:rPr>
      </w:pPr>
      <w:r>
        <w:rPr>
          <w:rFonts w:hint="eastAsia" w:ascii="仿宋" w:hAnsi="仿宋" w:eastAsia="仿宋" w:cs="仿宋"/>
          <w:sz w:val="32"/>
          <w:szCs w:val="32"/>
        </w:rPr>
        <w:t>深化“谁使用，谁负责”认识，形成相互制约的内控审核流程，</w:t>
      </w:r>
      <w:r>
        <w:rPr>
          <w:rFonts w:hint="eastAsia" w:ascii="仿宋_GB2312" w:hAnsi="仿宋_GB2312" w:eastAsia="仿宋_GB2312" w:cs="仿宋_GB2312"/>
          <w:sz w:val="32"/>
          <w:szCs w:val="32"/>
        </w:rPr>
        <w:t>加强抽查评价工作，</w:t>
      </w:r>
      <w:r>
        <w:rPr>
          <w:rFonts w:hint="eastAsia" w:ascii="仿宋" w:hAnsi="仿宋" w:eastAsia="仿宋" w:cs="仿宋"/>
          <w:sz w:val="32"/>
          <w:szCs w:val="32"/>
        </w:rPr>
        <w:t>及时发现问题，解决问题，保障财政资金依法依规妥善处置。同时，强化对参与资金管理工作的第三方机构监管，采取定期检查、不定期抽查、事后评价等方式，对由第三方专业机构负责审核的项目进行检查监督。</w:t>
      </w:r>
    </w:p>
    <w:p>
      <w:pPr>
        <w:pStyle w:val="2"/>
        <w:keepNext w:val="0"/>
        <w:keepLines w:val="0"/>
        <w:pageBreakBefore w:val="0"/>
        <w:widowControl w:val="0"/>
        <w:numPr>
          <w:ilvl w:val="0"/>
          <w:numId w:val="1"/>
        </w:numPr>
        <w:kinsoku/>
        <w:wordWrap/>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主要内容</w:t>
      </w:r>
    </w:p>
    <w:p>
      <w:pPr>
        <w:keepNext w:val="0"/>
        <w:keepLines w:val="0"/>
        <w:pageBreakBefore w:val="0"/>
        <w:widowControl w:val="0"/>
        <w:kinsoku/>
        <w:wordWrap/>
        <w:topLinePunct w:val="0"/>
        <w:autoSpaceDE/>
        <w:autoSpaceDN/>
        <w:bidi w:val="0"/>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《办法》共八章三十条，具体包括：</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第一章总则，共五条。明确</w:t>
      </w:r>
      <w:r>
        <w:rPr>
          <w:rFonts w:hint="eastAsia" w:ascii="仿宋" w:hAnsi="仿宋" w:eastAsia="仿宋" w:cs="仿宋"/>
          <w:sz w:val="32"/>
          <w:szCs w:val="32"/>
        </w:rPr>
        <w:t>《办法》</w:t>
      </w:r>
      <w:r>
        <w:rPr>
          <w:rFonts w:hint="eastAsia" w:ascii="仿宋" w:hAnsi="仿宋" w:eastAsia="仿宋" w:cs="仿宋"/>
          <w:color w:val="000000" w:themeColor="text1"/>
          <w:sz w:val="32"/>
          <w:szCs w:val="32"/>
        </w:rPr>
        <w:t>制定的依据，阐述深圳市龙岗区招商引资和企业培育专项资金定义，专项资金的主要用途、管理原则及专项资金项目管理模式。</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第二章部门职责，共三条。对照参与专项资金管理使用过程中不同部门、单位以及机构承担的事项内容，分别规定各自职责。</w:t>
      </w:r>
      <w:r>
        <w:rPr>
          <w:rFonts w:hint="eastAsia" w:ascii="仿宋" w:hAnsi="仿宋" w:eastAsia="仿宋" w:cs="仿宋"/>
          <w:sz w:val="32"/>
          <w:szCs w:val="28"/>
        </w:rPr>
        <w:t>区财政局为</w:t>
      </w:r>
      <w:r>
        <w:rPr>
          <w:rFonts w:hint="eastAsia" w:ascii="仿宋" w:hAnsi="仿宋" w:eastAsia="仿宋" w:cs="仿宋"/>
          <w:kern w:val="0"/>
          <w:sz w:val="32"/>
          <w:szCs w:val="32"/>
        </w:rPr>
        <w:t>专项资金的统筹协调部门，区投资推广和企业服务中心是专项资金的管理执行部门，区审计局负责对专项资金管理和使用情况进行审计监督。</w:t>
      </w:r>
      <w:r>
        <w:rPr>
          <w:rFonts w:hint="eastAsia" w:ascii="仿宋" w:hAnsi="仿宋" w:eastAsia="仿宋" w:cs="仿宋"/>
          <w:color w:val="000000" w:themeColor="text1"/>
          <w:sz w:val="32"/>
          <w:szCs w:val="32"/>
        </w:rPr>
        <w:t>申报单位负责配合</w:t>
      </w:r>
      <w:r>
        <w:rPr>
          <w:rFonts w:hint="eastAsia" w:ascii="仿宋" w:hAnsi="仿宋" w:eastAsia="仿宋" w:cs="仿宋"/>
          <w:kern w:val="0"/>
          <w:sz w:val="32"/>
          <w:szCs w:val="32"/>
        </w:rPr>
        <w:t>区投资推广和企业服务中心</w:t>
      </w:r>
      <w:r>
        <w:rPr>
          <w:rFonts w:hint="eastAsia" w:ascii="仿宋" w:hAnsi="仿宋" w:eastAsia="仿宋" w:cs="仿宋"/>
          <w:color w:val="000000" w:themeColor="text1"/>
          <w:sz w:val="32"/>
          <w:szCs w:val="32"/>
        </w:rPr>
        <w:t>、</w:t>
      </w:r>
      <w:r>
        <w:rPr>
          <w:rFonts w:hint="eastAsia" w:ascii="仿宋" w:hAnsi="仿宋" w:eastAsia="仿宋" w:cs="仿宋"/>
          <w:sz w:val="32"/>
          <w:szCs w:val="28"/>
        </w:rPr>
        <w:t>区财政局</w:t>
      </w:r>
      <w:r>
        <w:rPr>
          <w:rFonts w:hint="eastAsia" w:ascii="仿宋" w:hAnsi="仿宋" w:eastAsia="仿宋" w:cs="仿宋"/>
          <w:color w:val="000000" w:themeColor="text1"/>
          <w:sz w:val="32"/>
          <w:szCs w:val="32"/>
        </w:rPr>
        <w:t>和</w:t>
      </w:r>
      <w:r>
        <w:rPr>
          <w:rFonts w:hint="eastAsia" w:ascii="仿宋" w:hAnsi="仿宋" w:eastAsia="仿宋" w:cs="仿宋"/>
          <w:kern w:val="0"/>
          <w:sz w:val="32"/>
          <w:szCs w:val="32"/>
        </w:rPr>
        <w:t>区审计局</w:t>
      </w:r>
      <w:r>
        <w:rPr>
          <w:rFonts w:hint="eastAsia" w:ascii="仿宋" w:hAnsi="仿宋" w:eastAsia="仿宋" w:cs="仿宋"/>
          <w:color w:val="000000" w:themeColor="text1"/>
          <w:sz w:val="32"/>
          <w:szCs w:val="32"/>
        </w:rPr>
        <w:t>开展专项资金相关工作；</w:t>
      </w:r>
      <w:r>
        <w:rPr>
          <w:rFonts w:hint="eastAsia" w:ascii="仿宋" w:hAnsi="仿宋" w:eastAsia="仿宋" w:cs="仿宋"/>
          <w:color w:val="000000"/>
          <w:sz w:val="32"/>
          <w:szCs w:val="32"/>
        </w:rPr>
        <w:t>第三方专业机构</w:t>
      </w:r>
      <w:r>
        <w:rPr>
          <w:rFonts w:hint="eastAsia" w:ascii="仿宋" w:hAnsi="仿宋" w:eastAsia="仿宋" w:cs="仿宋"/>
          <w:color w:val="000000" w:themeColor="text1"/>
          <w:sz w:val="32"/>
          <w:szCs w:val="32"/>
        </w:rPr>
        <w:t>按约履责并做好信息安全的管理和保密工作。</w:t>
      </w:r>
    </w:p>
    <w:p>
      <w:pPr>
        <w:pStyle w:val="2"/>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eastAsia="仿宋_GB2312"/>
          <w:color w:val="000000" w:themeColor="text1"/>
          <w:sz w:val="32"/>
          <w:szCs w:val="32"/>
        </w:rPr>
      </w:pPr>
      <w:r>
        <w:rPr>
          <w:rFonts w:hint="eastAsia" w:ascii="仿宋" w:hAnsi="仿宋" w:eastAsia="仿宋" w:cs="仿宋"/>
          <w:color w:val="000000" w:themeColor="text1"/>
          <w:sz w:val="32"/>
          <w:szCs w:val="32"/>
        </w:rPr>
        <w:t>第三章</w:t>
      </w:r>
      <w:r>
        <w:rPr>
          <w:rFonts w:hint="eastAsia" w:ascii="仿宋" w:hAnsi="仿宋" w:eastAsia="仿宋" w:cs="仿宋"/>
          <w:color w:val="000000"/>
          <w:sz w:val="32"/>
          <w:szCs w:val="32"/>
        </w:rPr>
        <w:t>资金支持范围、对象和方式，共三条。</w:t>
      </w:r>
      <w:r>
        <w:rPr>
          <w:rFonts w:hint="eastAsia" w:ascii="仿宋_GB2312" w:eastAsia="仿宋_GB2312"/>
          <w:color w:val="000000" w:themeColor="text1"/>
          <w:sz w:val="32"/>
          <w:szCs w:val="32"/>
        </w:rPr>
        <w:t>明确专项资金的支持领域包括</w:t>
      </w:r>
      <w:r>
        <w:rPr>
          <w:rFonts w:hint="eastAsia" w:ascii="仿宋_GB2312" w:hAnsi="仿宋_GB2312" w:eastAsia="仿宋_GB2312" w:cs="华文仿宋"/>
          <w:kern w:val="0"/>
          <w:sz w:val="32"/>
          <w:szCs w:val="32"/>
        </w:rPr>
        <w:t>招商引资领域和企业培育领域</w:t>
      </w:r>
      <w:r>
        <w:rPr>
          <w:rFonts w:hint="eastAsia" w:ascii="仿宋_GB2312" w:eastAsia="仿宋_GB2312"/>
          <w:color w:val="000000" w:themeColor="text1"/>
          <w:sz w:val="32"/>
          <w:szCs w:val="32"/>
        </w:rPr>
        <w:t>。明确专项资金扶持对象，以及专项资金采用的支持方式。</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ascii="仿宋_GB2312" w:hAnsi="Calibri" w:eastAsia="仿宋_GB2312" w:cs="Times New Roman"/>
          <w:color w:val="000000"/>
          <w:sz w:val="32"/>
          <w:szCs w:val="32"/>
        </w:rPr>
      </w:pPr>
      <w:r>
        <w:rPr>
          <w:rFonts w:hint="eastAsia" w:ascii="仿宋_GB2312" w:eastAsia="仿宋_GB2312"/>
          <w:color w:val="000000" w:themeColor="text1"/>
          <w:sz w:val="32"/>
          <w:szCs w:val="32"/>
        </w:rPr>
        <w:t>第四</w:t>
      </w:r>
      <w:r>
        <w:rPr>
          <w:rFonts w:hint="eastAsia" w:ascii="仿宋" w:hAnsi="仿宋" w:eastAsia="仿宋" w:cs="仿宋"/>
          <w:color w:val="000000"/>
          <w:sz w:val="32"/>
          <w:szCs w:val="32"/>
        </w:rPr>
        <w:t>章预算编制、执行和决算编制，共五条。</w:t>
      </w:r>
      <w:r>
        <w:rPr>
          <w:rFonts w:hint="eastAsia" w:ascii="仿宋_GB2312" w:eastAsia="仿宋_GB2312"/>
          <w:color w:val="000000" w:themeColor="text1"/>
          <w:sz w:val="32"/>
          <w:szCs w:val="32"/>
        </w:rPr>
        <w:t>强调强化预算管理，结合区财政局对预算管理的要求，</w:t>
      </w:r>
      <w:r>
        <w:rPr>
          <w:rFonts w:hint="eastAsia" w:ascii="仿宋_GB2312" w:hAnsi="Calibri" w:eastAsia="仿宋_GB2312" w:cs="Times New Roman"/>
          <w:color w:val="000000"/>
          <w:sz w:val="32"/>
          <w:szCs w:val="32"/>
        </w:rPr>
        <w:t>对专项资金实行目录清单制管理，规定预算编制、预算执行、预算拨付、决算公开等要求和程序。</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第五章专项资金项目管理，</w:t>
      </w:r>
      <w:r>
        <w:rPr>
          <w:rFonts w:hint="eastAsia" w:ascii="仿宋" w:hAnsi="仿宋" w:eastAsia="仿宋" w:cs="仿宋"/>
          <w:color w:val="000000"/>
          <w:sz w:val="32"/>
          <w:szCs w:val="32"/>
        </w:rPr>
        <w:t>共四条。</w:t>
      </w:r>
      <w:r>
        <w:rPr>
          <w:rFonts w:hint="eastAsia" w:ascii="仿宋_GB2312" w:eastAsia="仿宋_GB2312"/>
          <w:color w:val="000000" w:themeColor="text1"/>
          <w:sz w:val="32"/>
          <w:szCs w:val="32"/>
        </w:rPr>
        <w:t>确定项目管理链条，细化各管理环节内容及要求，包括发布申报指南，申报单位的基础条件，项目类型及审批权限，项目受理审核的流程和审批程序，项目公示的内容和要求，项目扶持计划的下达等，为项目管理提供指导性意见，进一步细化、规范项目管理。</w:t>
      </w:r>
    </w:p>
    <w:p>
      <w:pPr>
        <w:keepNext w:val="0"/>
        <w:keepLines w:val="0"/>
        <w:pageBreakBefore w:val="0"/>
        <w:widowControl w:val="0"/>
        <w:kinsoku/>
        <w:wordWrap/>
        <w:topLinePunct w:val="0"/>
        <w:autoSpaceDE/>
        <w:autoSpaceDN/>
        <w:bidi w:val="0"/>
        <w:spacing w:line="560"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第六章绩效管理，共三条。强化专项资金的“绩效导向”及绩效闭环管理，规定区投资推广和企业服务中心开展绩效管理工作的内容，提出绩效目标作为专项资金预算执行、绩效运行监控和事后绩效评价的重要依据。</w:t>
      </w:r>
    </w:p>
    <w:p>
      <w:pPr>
        <w:keepNext w:val="0"/>
        <w:keepLines w:val="0"/>
        <w:pageBreakBefore w:val="0"/>
        <w:widowControl w:val="0"/>
        <w:kinsoku/>
        <w:wordWrap/>
        <w:topLinePunct w:val="0"/>
        <w:autoSpaceDE/>
        <w:autoSpaceDN/>
        <w:bidi w:val="0"/>
        <w:spacing w:line="560" w:lineRule="exact"/>
        <w:ind w:firstLine="640"/>
        <w:textAlignment w:val="auto"/>
        <w:rPr>
          <w:rFonts w:ascii="仿宋_GB2312" w:eastAsia="仿宋_GB2312"/>
          <w:color w:val="000000"/>
          <w:sz w:val="32"/>
          <w:szCs w:val="32"/>
        </w:rPr>
      </w:pPr>
      <w:r>
        <w:rPr>
          <w:rFonts w:hint="eastAsia" w:ascii="仿宋_GB2312" w:eastAsia="仿宋_GB2312"/>
          <w:color w:val="000000" w:themeColor="text1"/>
          <w:sz w:val="32"/>
          <w:szCs w:val="32"/>
        </w:rPr>
        <w:t>第七章监督检查，共四条。加强专项资金项目的监管，对专项资金管理使用过程实施监督检查。结合我区专项资金管理实际，规定将参与资金管理使用的相关部门、专业机构、申报单位及其工作人员在专项资金申报、使用、审核、管理中的失信或违法违规行为</w:t>
      </w:r>
      <w:r>
        <w:rPr>
          <w:rFonts w:hint="eastAsia" w:ascii="仿宋" w:hAnsi="仿宋" w:eastAsia="仿宋" w:cs="仿宋"/>
          <w:sz w:val="32"/>
          <w:szCs w:val="32"/>
        </w:rPr>
        <w:t>信息归集至公共信用信息平台</w:t>
      </w:r>
      <w:r>
        <w:rPr>
          <w:rFonts w:hint="eastAsia" w:ascii="仿宋_GB2312" w:eastAsia="仿宋_GB2312"/>
          <w:color w:val="000000" w:themeColor="text1"/>
          <w:sz w:val="32"/>
          <w:szCs w:val="32"/>
        </w:rPr>
        <w:t>，</w:t>
      </w:r>
      <w:r>
        <w:rPr>
          <w:rFonts w:hint="eastAsia" w:ascii="仿宋_GB2312" w:eastAsia="仿宋_GB2312"/>
          <w:color w:val="000000"/>
          <w:sz w:val="32"/>
          <w:szCs w:val="32"/>
        </w:rPr>
        <w:t>涉嫌犯罪的，依法移送司法机关处理。</w:t>
      </w:r>
    </w:p>
    <w:p>
      <w:pPr>
        <w:pStyle w:val="2"/>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第八章附则，共三条。明确保密信息的处理要求以及本办法施行日期和有效期限。</w:t>
      </w:r>
    </w:p>
    <w:p>
      <w:pPr>
        <w:pStyle w:val="2"/>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特此说明。</w:t>
      </w:r>
    </w:p>
    <w:p>
      <w:pPr>
        <w:pStyle w:val="2"/>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eastAsia="仿宋_GB2312"/>
          <w:color w:val="000000" w:themeColor="text1"/>
          <w:sz w:val="32"/>
          <w:szCs w:val="32"/>
        </w:rPr>
      </w:pPr>
    </w:p>
    <w:p>
      <w:pPr>
        <w:pStyle w:val="2"/>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eastAsia="仿宋_GB2312"/>
          <w:color w:val="000000" w:themeColor="text1"/>
          <w:sz w:val="32"/>
          <w:szCs w:val="32"/>
        </w:rPr>
      </w:pPr>
    </w:p>
    <w:p>
      <w:pPr>
        <w:pStyle w:val="2"/>
        <w:keepNext w:val="0"/>
        <w:keepLines w:val="0"/>
        <w:pageBreakBefore w:val="0"/>
        <w:widowControl w:val="0"/>
        <w:kinsoku/>
        <w:wordWrap/>
        <w:topLinePunct w:val="0"/>
        <w:autoSpaceDE/>
        <w:autoSpaceDN/>
        <w:bidi w:val="0"/>
        <w:spacing w:line="560" w:lineRule="exact"/>
        <w:ind w:firstLine="640" w:firstLineChars="200"/>
        <w:jc w:val="right"/>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深圳市龙岗区投资推广和企业服务中心</w:t>
      </w:r>
    </w:p>
    <w:p>
      <w:pPr>
        <w:pStyle w:val="2"/>
        <w:keepNext w:val="0"/>
        <w:keepLines w:val="0"/>
        <w:pageBreakBefore w:val="0"/>
        <w:widowControl w:val="0"/>
        <w:kinsoku/>
        <w:wordWrap/>
        <w:topLinePunct w:val="0"/>
        <w:autoSpaceDE/>
        <w:autoSpaceDN/>
        <w:bidi w:val="0"/>
        <w:spacing w:line="560" w:lineRule="exact"/>
        <w:ind w:firstLine="4480" w:firstLineChars="14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2021年</w:t>
      </w:r>
      <w:r>
        <w:rPr>
          <w:rFonts w:hint="eastAsia" w:ascii="仿宋_GB2312" w:eastAsia="仿宋_GB2312"/>
          <w:color w:val="000000" w:themeColor="text1"/>
          <w:sz w:val="32"/>
          <w:szCs w:val="32"/>
          <w:lang w:val="en-US" w:eastAsia="zh-CN"/>
        </w:rPr>
        <w:t>11</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3</w:t>
      </w:r>
      <w:bookmarkStart w:id="2" w:name="_GoBack"/>
      <w:bookmarkEnd w:id="2"/>
      <w:r>
        <w:rPr>
          <w:rFonts w:hint="eastAsia" w:ascii="仿宋_GB2312" w:eastAsia="仿宋_GB2312"/>
          <w:color w:val="000000" w:themeColor="text1"/>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929831"/>
      <w:docPartObj>
        <w:docPartGallery w:val="autotext"/>
      </w:docPartObj>
    </w:sdtPr>
    <w:sdtContent>
      <w:p>
        <w:pPr>
          <w:pStyle w:val="4"/>
          <w:jc w:val="right"/>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F1E65"/>
    <w:multiLevelType w:val="singleLevel"/>
    <w:tmpl w:val="604F1E6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53C731A"/>
    <w:rsid w:val="00050987"/>
    <w:rsid w:val="000813AA"/>
    <w:rsid w:val="000B7C96"/>
    <w:rsid w:val="00217E07"/>
    <w:rsid w:val="003235E1"/>
    <w:rsid w:val="003576D9"/>
    <w:rsid w:val="00510538"/>
    <w:rsid w:val="005430F8"/>
    <w:rsid w:val="00611450"/>
    <w:rsid w:val="00786F8A"/>
    <w:rsid w:val="008115B0"/>
    <w:rsid w:val="008428EA"/>
    <w:rsid w:val="00890A4B"/>
    <w:rsid w:val="009502CF"/>
    <w:rsid w:val="00A060FD"/>
    <w:rsid w:val="00B6545E"/>
    <w:rsid w:val="00BD3B13"/>
    <w:rsid w:val="00C61A2C"/>
    <w:rsid w:val="00CC26AF"/>
    <w:rsid w:val="00D6291A"/>
    <w:rsid w:val="00E1644B"/>
    <w:rsid w:val="00F10EA5"/>
    <w:rsid w:val="00F361E0"/>
    <w:rsid w:val="00FC2B30"/>
    <w:rsid w:val="00FE1D91"/>
    <w:rsid w:val="00FF0068"/>
    <w:rsid w:val="02E23919"/>
    <w:rsid w:val="03975B92"/>
    <w:rsid w:val="04E219F6"/>
    <w:rsid w:val="055024EE"/>
    <w:rsid w:val="06600497"/>
    <w:rsid w:val="07D83851"/>
    <w:rsid w:val="0AC96A3C"/>
    <w:rsid w:val="0B044A3A"/>
    <w:rsid w:val="0B3A6DEE"/>
    <w:rsid w:val="0E8B079E"/>
    <w:rsid w:val="0FA45978"/>
    <w:rsid w:val="11035C2C"/>
    <w:rsid w:val="121B02E3"/>
    <w:rsid w:val="12C73DC7"/>
    <w:rsid w:val="150F5FC5"/>
    <w:rsid w:val="1AD763CA"/>
    <w:rsid w:val="1C890FD9"/>
    <w:rsid w:val="1CEF3A33"/>
    <w:rsid w:val="1D9E68E2"/>
    <w:rsid w:val="1F5415AC"/>
    <w:rsid w:val="217A3EA8"/>
    <w:rsid w:val="21990072"/>
    <w:rsid w:val="21A96222"/>
    <w:rsid w:val="224A4EF6"/>
    <w:rsid w:val="23BB5842"/>
    <w:rsid w:val="24584ECA"/>
    <w:rsid w:val="25963468"/>
    <w:rsid w:val="26F90105"/>
    <w:rsid w:val="2BB23410"/>
    <w:rsid w:val="2BF86785"/>
    <w:rsid w:val="30F213AD"/>
    <w:rsid w:val="315F4C14"/>
    <w:rsid w:val="33FD4C0A"/>
    <w:rsid w:val="347D1FE3"/>
    <w:rsid w:val="376B1C29"/>
    <w:rsid w:val="3834150C"/>
    <w:rsid w:val="3AC85CD8"/>
    <w:rsid w:val="3B5316DB"/>
    <w:rsid w:val="3BEC54F1"/>
    <w:rsid w:val="40350F76"/>
    <w:rsid w:val="41D27E4D"/>
    <w:rsid w:val="42B74264"/>
    <w:rsid w:val="442E2EF5"/>
    <w:rsid w:val="4445664E"/>
    <w:rsid w:val="44B3247A"/>
    <w:rsid w:val="47184E1E"/>
    <w:rsid w:val="480558E1"/>
    <w:rsid w:val="480C1314"/>
    <w:rsid w:val="4817646D"/>
    <w:rsid w:val="48A06498"/>
    <w:rsid w:val="4939221B"/>
    <w:rsid w:val="497C5843"/>
    <w:rsid w:val="4A774E7D"/>
    <w:rsid w:val="4E354DE4"/>
    <w:rsid w:val="4F5F5229"/>
    <w:rsid w:val="4F965E3C"/>
    <w:rsid w:val="511B6C10"/>
    <w:rsid w:val="54070DC5"/>
    <w:rsid w:val="54B963F2"/>
    <w:rsid w:val="54D453DC"/>
    <w:rsid w:val="553C731A"/>
    <w:rsid w:val="56323D9B"/>
    <w:rsid w:val="581D7807"/>
    <w:rsid w:val="61434680"/>
    <w:rsid w:val="651471CE"/>
    <w:rsid w:val="66A315A9"/>
    <w:rsid w:val="6D4C1AC1"/>
    <w:rsid w:val="6D9678FD"/>
    <w:rsid w:val="6DAA47E5"/>
    <w:rsid w:val="6EEA3A97"/>
    <w:rsid w:val="6F125722"/>
    <w:rsid w:val="6FD71847"/>
    <w:rsid w:val="702224A9"/>
    <w:rsid w:val="70ED061D"/>
    <w:rsid w:val="715D6D6C"/>
    <w:rsid w:val="715E6239"/>
    <w:rsid w:val="719F5F97"/>
    <w:rsid w:val="720525A0"/>
    <w:rsid w:val="726618A9"/>
    <w:rsid w:val="726B4CE3"/>
    <w:rsid w:val="76296528"/>
    <w:rsid w:val="78CB0F05"/>
    <w:rsid w:val="7A396FC5"/>
    <w:rsid w:val="7AFE379F"/>
    <w:rsid w:val="7B2222D1"/>
    <w:rsid w:val="7B2D6127"/>
    <w:rsid w:val="7C4D5379"/>
    <w:rsid w:val="7DFD528A"/>
    <w:rsid w:val="7ECD63A4"/>
    <w:rsid w:val="7EE220F1"/>
    <w:rsid w:val="7F0B506D"/>
    <w:rsid w:val="E69B2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rPr>
  </w:style>
  <w:style w:type="paragraph" w:styleId="3">
    <w:name w:val="Balloon Text"/>
    <w:basedOn w:val="1"/>
    <w:link w:val="10"/>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heme="minorHAnsi" w:hAnsiTheme="minorHAnsi" w:eastAsiaTheme="minorEastAsia" w:cstheme="minorBidi"/>
      <w:kern w:val="2"/>
      <w:sz w:val="18"/>
      <w:szCs w:val="18"/>
    </w:rPr>
  </w:style>
  <w:style w:type="character" w:customStyle="1" w:styleId="9">
    <w:name w:val="页脚 Char"/>
    <w:basedOn w:val="7"/>
    <w:link w:val="4"/>
    <w:qFormat/>
    <w:uiPriority w:val="99"/>
    <w:rPr>
      <w:rFonts w:asciiTheme="minorHAnsi" w:hAnsiTheme="minorHAnsi" w:eastAsiaTheme="minorEastAsia" w:cstheme="minorBidi"/>
      <w:kern w:val="2"/>
      <w:sz w:val="18"/>
      <w:szCs w:val="24"/>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415</Words>
  <Characters>2372</Characters>
  <Lines>19</Lines>
  <Paragraphs>5</Paragraphs>
  <TotalTime>147</TotalTime>
  <ScaleCrop>false</ScaleCrop>
  <LinksUpToDate>false</LinksUpToDate>
  <CharactersWithSpaces>2782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2021-03-15T14:52:00Z</dcterms:created>
  <dc:creator>周佳燕</dc:creator>
  <cp:lastModifiedBy>周佳燕</cp:lastModifiedBy>
  <dcterms:modified xsi:type="dcterms:W3CDTF">2021-11-04T02:58:31Z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