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lang w:val="en-US" w:eastAsia="zh-CN"/>
        </w:rPr>
        <w:t>《龙华区促进体育事业高质量发展扶持办法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抓住粤港澳大湾区和中国特色社会主义先行示范区建设重大机遇，打造竞争力影响力卓著的国际化创新型中轴新城，全力构建“龙华特色”体育品牌，根据国家、省、市有关鼓励、促进体育事业发展的相关措施，结合我区实际，研究起草了《龙华区促进体育事业高质量发展扶持办法》</w:t>
      </w:r>
      <w:r>
        <w:rPr>
          <w:rFonts w:hint="eastAsia" w:ascii="仿宋_GB2312" w:hAnsi="仿宋_GB2312" w:eastAsia="仿宋_GB2312" w:cs="仿宋_GB2312"/>
          <w:sz w:val="32"/>
          <w:szCs w:val="32"/>
          <w:lang w:eastAsia="zh-CN"/>
        </w:rPr>
        <w:t>（以下简称《办法》）</w:t>
      </w:r>
      <w:r>
        <w:rPr>
          <w:rFonts w:hint="eastAsia" w:ascii="仿宋_GB2312" w:hAnsi="仿宋_GB2312" w:eastAsia="仿宋_GB2312" w:cs="仿宋_GB2312"/>
          <w:sz w:val="32"/>
          <w:szCs w:val="32"/>
        </w:rPr>
        <w:t>。现将有关起草情况说明如下：</w:t>
      </w:r>
    </w:p>
    <w:p>
      <w:pPr>
        <w:keepNext w:val="0"/>
        <w:keepLines w:val="0"/>
        <w:pageBreakBefore w:val="0"/>
        <w:widowControl w:val="0"/>
        <w:kinsoku/>
        <w:wordWrap/>
        <w:overflowPunct/>
        <w:topLinePunct w:val="0"/>
        <w:autoSpaceDE/>
        <w:autoSpaceDN/>
        <w:bidi w:val="0"/>
        <w:adjustRightInd w:val="0"/>
        <w:snapToGrid/>
        <w:spacing w:line="560" w:lineRule="exact"/>
        <w:ind w:firstLine="640"/>
        <w:contextualSpacing/>
        <w:textAlignment w:val="auto"/>
        <w:rPr>
          <w:rFonts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为更好推进相关工作，我局从以下几个方面考虑进行了政策制定：</w:t>
      </w:r>
    </w:p>
    <w:p>
      <w:pPr>
        <w:pStyle w:val="2"/>
        <w:numPr>
          <w:ilvl w:val="0"/>
          <w:numId w:val="1"/>
        </w:numPr>
        <w:rPr>
          <w:rFonts w:hint="default" w:ascii="仿宋_GB2312" w:hAnsi="仿宋_GB2312" w:cs="仿宋_GB2312"/>
          <w:b/>
          <w:bCs/>
          <w:sz w:val="32"/>
          <w:szCs w:val="32"/>
          <w:lang w:val="en-US" w:eastAsia="zh-CN"/>
        </w:rPr>
      </w:pPr>
      <w:r>
        <w:rPr>
          <w:rFonts w:hint="eastAsia" w:ascii="楷体_GB2312" w:hAnsi="楷体_GB2312" w:eastAsia="楷体_GB2312" w:cs="楷体_GB2312"/>
          <w:b/>
          <w:bCs/>
          <w:sz w:val="32"/>
          <w:szCs w:val="32"/>
          <w:lang w:eastAsia="zh-CN"/>
        </w:rPr>
        <w:t>国家、省、市政策要求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近年来，党中央及国务院</w:t>
      </w:r>
      <w:r>
        <w:rPr>
          <w:rFonts w:hint="eastAsia" w:ascii="仿宋_GB2312" w:hAnsi="仿宋_GB2312" w:eastAsia="仿宋_GB2312" w:cs="仿宋_GB2312"/>
          <w:sz w:val="32"/>
          <w:szCs w:val="32"/>
        </w:rPr>
        <w:t>高度关心和重视体育事业</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，始终从中华民族伟大复兴和人民群众的美好生活向往的高度引领体育事业健康有序发展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9月</w:t>
      </w:r>
      <w:r>
        <w:rPr>
          <w:rFonts w:hint="eastAsia" w:ascii="仿宋_GB2312" w:hAnsi="仿宋_GB2312" w:eastAsia="仿宋_GB2312" w:cs="仿宋_GB2312"/>
          <w:color w:val="auto"/>
          <w:sz w:val="32"/>
          <w:szCs w:val="32"/>
          <w:lang w:eastAsia="zh-CN"/>
        </w:rPr>
        <w:t>习近平总书记</w:t>
      </w:r>
      <w:r>
        <w:rPr>
          <w:rFonts w:hint="eastAsia" w:ascii="仿宋_GB2312" w:hAnsi="仿宋_GB2312" w:eastAsia="仿宋_GB2312" w:cs="仿宋_GB2312"/>
          <w:color w:val="auto"/>
          <w:sz w:val="32"/>
          <w:szCs w:val="32"/>
        </w:rPr>
        <w:t>召开教育文化卫生体育领域专家代表座谈会</w:t>
      </w:r>
      <w:r>
        <w:rPr>
          <w:rFonts w:hint="eastAsia" w:ascii="仿宋_GB2312" w:hAnsi="仿宋_GB2312" w:eastAsia="仿宋_GB2312" w:cs="仿宋_GB2312"/>
          <w:color w:val="auto"/>
          <w:sz w:val="32"/>
          <w:szCs w:val="32"/>
          <w:lang w:eastAsia="zh-CN"/>
        </w:rPr>
        <w:t>，会</w:t>
      </w:r>
      <w:r>
        <w:rPr>
          <w:rFonts w:hint="eastAsia" w:ascii="仿宋_GB2312" w:hAnsi="仿宋_GB2312" w:eastAsia="仿宋_GB2312" w:cs="仿宋_GB2312"/>
          <w:color w:val="auto"/>
          <w:sz w:val="32"/>
          <w:szCs w:val="32"/>
        </w:rPr>
        <w:t>上强调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体育是提高人民健康水平的重要途径，是满足人民群众对美好生活向往、促进人的全面发展的重要手段。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十四五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时期，要科学研判体育发展面临的新形势，坚持问题导向，聚焦重点领域和关键环节，深化改革创新，不断开创体育事业发展新局面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“双区驱动”建设背景下，</w:t>
      </w:r>
      <w:r>
        <w:rPr>
          <w:rFonts w:hint="eastAsia" w:ascii="仿宋_GB2312" w:hAnsi="仿宋_GB2312" w:eastAsia="仿宋_GB2312" w:cs="仿宋_GB2312"/>
          <w:sz w:val="32"/>
          <w:szCs w:val="32"/>
          <w:lang w:eastAsia="zh-CN"/>
        </w:rPr>
        <w:t>龙华区积极</w:t>
      </w:r>
      <w:r>
        <w:rPr>
          <w:rFonts w:hint="eastAsia" w:ascii="仿宋_GB2312" w:hAnsi="仿宋_GB2312" w:eastAsia="仿宋_GB2312" w:cs="仿宋_GB2312"/>
          <w:sz w:val="32"/>
          <w:szCs w:val="32"/>
        </w:rPr>
        <w:t>推动体育事业高质量发展</w:t>
      </w:r>
      <w:r>
        <w:rPr>
          <w:rFonts w:hint="eastAsia" w:ascii="仿宋_GB2312" w:hAnsi="仿宋_GB2312" w:eastAsia="仿宋_GB2312" w:cs="仿宋_GB2312"/>
          <w:sz w:val="32"/>
          <w:szCs w:val="32"/>
          <w:lang w:eastAsia="zh-CN"/>
        </w:rPr>
        <w:t>意义重大，为打造“体育强省”及“体育强国”作出重要表率。</w:t>
      </w:r>
    </w:p>
    <w:p>
      <w:pPr>
        <w:pStyle w:val="2"/>
        <w:numPr>
          <w:ilvl w:val="0"/>
          <w:numId w:val="1"/>
        </w:numP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高标准供给公共体育服务产品的需求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龙华区承担着</w:t>
      </w:r>
      <w:r>
        <w:rPr>
          <w:rFonts w:hint="eastAsia" w:ascii="仿宋_GB2312" w:hAnsi="仿宋_GB2312" w:eastAsia="仿宋_GB2312" w:cs="仿宋_GB2312"/>
          <w:sz w:val="32"/>
          <w:szCs w:val="32"/>
        </w:rPr>
        <w:t>国际化创新型中轴新城</w:t>
      </w:r>
      <w:r>
        <w:rPr>
          <w:rFonts w:hint="eastAsia" w:ascii="仿宋_GB2312" w:hAnsi="仿宋_GB2312" w:eastAsia="仿宋_GB2312" w:cs="仿宋_GB2312"/>
          <w:sz w:val="32"/>
          <w:szCs w:val="32"/>
          <w:lang w:eastAsia="zh-CN"/>
        </w:rPr>
        <w:t>建设的</w:t>
      </w:r>
      <w:r>
        <w:rPr>
          <w:rFonts w:hint="eastAsia" w:ascii="仿宋_GB2312" w:hAnsi="仿宋_GB2312" w:eastAsia="仿宋_GB2312" w:cs="仿宋_GB2312"/>
          <w:sz w:val="32"/>
          <w:szCs w:val="32"/>
        </w:rPr>
        <w:t>重要使命，为促进全民健身更高水平发展，更好满足人民群众的健身和健康需求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应更积极响应新形势下的发展要求，推出更贴合</w:t>
      </w:r>
      <w:r>
        <w:rPr>
          <w:rFonts w:hint="eastAsia" w:ascii="仿宋_GB2312" w:hAnsi="仿宋_GB2312" w:eastAsia="仿宋_GB2312" w:cs="仿宋_GB2312"/>
          <w:sz w:val="32"/>
          <w:szCs w:val="32"/>
          <w:lang w:eastAsia="zh-CN"/>
        </w:rPr>
        <w:t>龙华</w:t>
      </w:r>
      <w:r>
        <w:rPr>
          <w:rFonts w:hint="eastAsia" w:ascii="仿宋_GB2312" w:hAnsi="仿宋_GB2312" w:eastAsia="仿宋_GB2312" w:cs="仿宋_GB2312"/>
          <w:sz w:val="32"/>
          <w:szCs w:val="32"/>
        </w:rPr>
        <w:t>实际、更具竞争力的</w:t>
      </w:r>
      <w:r>
        <w:rPr>
          <w:rFonts w:hint="eastAsia" w:ascii="仿宋_GB2312" w:hAnsi="仿宋_GB2312" w:eastAsia="仿宋_GB2312" w:cs="仿宋_GB2312"/>
          <w:sz w:val="32"/>
          <w:szCs w:val="32"/>
          <w:lang w:eastAsia="zh-CN"/>
        </w:rPr>
        <w:t>体育事业扶持</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，加强对体育公共产品的扶持和供给，大力促进公共体育服务产品的多元化，满足人民群众的多样化体育需求</w:t>
      </w:r>
      <w:r>
        <w:rPr>
          <w:rFonts w:hint="eastAsia" w:ascii="仿宋_GB2312" w:hAnsi="仿宋_GB2312" w:eastAsia="仿宋_GB2312" w:cs="仿宋_GB2312"/>
          <w:sz w:val="32"/>
          <w:szCs w:val="32"/>
        </w:rPr>
        <w:t>。</w:t>
      </w:r>
    </w:p>
    <w:p>
      <w:pPr>
        <w:pStyle w:val="2"/>
        <w:numPr>
          <w:ilvl w:val="0"/>
          <w:numId w:val="1"/>
        </w:numP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高质量发展体育事业的需求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区正大力推进文化体育事业发展，《深圳市龙华区国民经济和社会发展第十四个五年规划和二〇三五年远景目标纲要》明确提出发展体育竞赛表演业、培养一批具有国际影响力的大型体育品牌赛事、培育具有核心竞争力的体育企业和国际影响力的自主品牌等系列规划，为此，研究制定配套的体育事业扶持政策具有现实必要性和重要意义。</w:t>
      </w:r>
    </w:p>
    <w:p>
      <w:pPr>
        <w:keepNext w:val="0"/>
        <w:keepLines w:val="0"/>
        <w:pageBreakBefore w:val="0"/>
        <w:widowControl w:val="0"/>
        <w:kinsoku/>
        <w:wordWrap/>
        <w:overflowPunct/>
        <w:topLinePunct w:val="0"/>
        <w:autoSpaceDE/>
        <w:autoSpaceDN/>
        <w:bidi w:val="0"/>
        <w:adjustRightInd w:val="0"/>
        <w:snapToGrid/>
        <w:spacing w:line="560" w:lineRule="exact"/>
        <w:ind w:firstLine="640"/>
        <w:contextualSpacing/>
        <w:textAlignment w:val="auto"/>
        <w:rPr>
          <w:rFonts w:ascii="仿宋_GB2312" w:hAnsi="仿宋_GB2312" w:eastAsia="仿宋_GB2312" w:cs="仿宋_GB2312"/>
          <w:b/>
          <w:sz w:val="32"/>
          <w:szCs w:val="32"/>
        </w:rPr>
      </w:pPr>
      <w:r>
        <w:rPr>
          <w:rFonts w:hint="eastAsia" w:ascii="黑体" w:hAnsi="黑体" w:eastAsia="黑体" w:cs="黑体"/>
          <w:sz w:val="32"/>
          <w:szCs w:val="32"/>
        </w:rPr>
        <w:t>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2021年1</w:t>
      </w:r>
      <w:r>
        <w:rPr>
          <w:rFonts w:hint="eastAsia" w:ascii="仿宋_GB2312" w:hAnsi="仿宋_GB2312" w:eastAsia="仿宋_GB2312" w:cs="仿宋_GB2312"/>
          <w:sz w:val="32"/>
          <w:szCs w:val="32"/>
          <w:highlight w:val="none"/>
        </w:rPr>
        <w:t>月份以来</w:t>
      </w:r>
      <w:r>
        <w:rPr>
          <w:rFonts w:hint="eastAsia" w:ascii="仿宋_GB2312" w:hAnsi="仿宋_GB2312" w:eastAsia="仿宋_GB2312" w:cs="仿宋_GB2312"/>
          <w:sz w:val="32"/>
          <w:szCs w:val="32"/>
        </w:rPr>
        <w:t>，经过多次专题调研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、反复修改，我们完成了《办法》</w:t>
      </w:r>
      <w:r>
        <w:rPr>
          <w:rFonts w:hint="eastAsia" w:ascii="仿宋_GB2312" w:hAnsi="仿宋_GB2312" w:eastAsia="仿宋_GB2312" w:cs="仿宋_GB2312"/>
          <w:sz w:val="32"/>
          <w:szCs w:val="32"/>
          <w:lang w:eastAsia="zh-CN"/>
        </w:rPr>
        <w:t>。现就《办法》内容</w:t>
      </w:r>
      <w:r>
        <w:rPr>
          <w:rFonts w:hint="eastAsia" w:ascii="仿宋_GB2312" w:hAnsi="仿宋_GB2312" w:eastAsia="仿宋_GB2312" w:cs="仿宋_GB2312"/>
          <w:sz w:val="32"/>
          <w:szCs w:val="32"/>
        </w:rPr>
        <w:t>书面征求</w:t>
      </w:r>
      <w:r>
        <w:rPr>
          <w:rFonts w:hint="eastAsia" w:ascii="仿宋_GB2312" w:hAnsi="仿宋_GB2312" w:eastAsia="仿宋_GB2312" w:cs="仿宋_GB2312"/>
          <w:sz w:val="32"/>
          <w:szCs w:val="32"/>
          <w:lang w:eastAsia="zh-CN"/>
        </w:rPr>
        <w:t>相关单位的意见。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contextualSpacing/>
        <w:textAlignment w:val="auto"/>
        <w:rPr>
          <w:rFonts w:ascii="仿宋_GB2312" w:hAnsi="仿宋_GB2312" w:eastAsia="仿宋_GB2312" w:cs="仿宋_GB2312"/>
          <w:b/>
          <w:sz w:val="32"/>
          <w:szCs w:val="32"/>
        </w:rPr>
      </w:pPr>
      <w:r>
        <w:rPr>
          <w:rFonts w:hint="eastAsia" w:ascii="黑体" w:hAnsi="黑体" w:eastAsia="黑体" w:cs="黑体"/>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本办法共</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章2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条，主要</w:t>
      </w:r>
      <w:r>
        <w:rPr>
          <w:rFonts w:hint="eastAsia" w:ascii="仿宋_GB2312" w:hAnsi="仿宋_GB2312" w:eastAsia="仿宋_GB2312" w:cs="仿宋_GB2312"/>
          <w:sz w:val="32"/>
          <w:szCs w:val="32"/>
          <w:lang w:eastAsia="zh-CN"/>
        </w:rPr>
        <w:t>内容为</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龙华</w:t>
      </w:r>
      <w:r>
        <w:rPr>
          <w:rFonts w:hint="eastAsia" w:ascii="仿宋_GB2312" w:hAnsi="仿宋_GB2312" w:eastAsia="仿宋_GB2312" w:cs="仿宋_GB2312"/>
          <w:sz w:val="32"/>
          <w:szCs w:val="32"/>
        </w:rPr>
        <w:t>区体育事业发展</w:t>
      </w:r>
      <w:r>
        <w:rPr>
          <w:rFonts w:hint="eastAsia" w:ascii="仿宋_GB2312" w:hAnsi="仿宋_GB2312" w:eastAsia="仿宋_GB2312" w:cs="仿宋_GB2312"/>
          <w:sz w:val="32"/>
          <w:szCs w:val="32"/>
          <w:lang w:eastAsia="zh-CN"/>
        </w:rPr>
        <w:t>的相关扶持政策。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第一章总则，共</w:t>
      </w:r>
      <w:r>
        <w:rPr>
          <w:rFonts w:hint="eastAsia" w:ascii="仿宋_GB2312" w:hAnsi="仿宋_GB2312" w:eastAsia="仿宋_GB2312" w:cs="仿宋_GB2312"/>
          <w:sz w:val="32"/>
          <w:szCs w:val="32"/>
          <w:lang w:val="en-US" w:eastAsia="zh-CN"/>
        </w:rPr>
        <w:t>5条，主要内容为政策制定依据、实施主体、扶持对象、资助原则、申报说明。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highlight w:val="none"/>
          <w:lang w:eastAsia="zh-CN"/>
        </w:rPr>
      </w:pPr>
      <w:r>
        <w:rPr>
          <w:rFonts w:hint="eastAsia" w:ascii="仿宋_GB2312" w:hAnsi="仿宋_GB2312" w:eastAsia="仿宋_GB2312" w:cs="仿宋_GB2312"/>
          <w:sz w:val="32"/>
          <w:szCs w:val="32"/>
          <w:lang w:val="en-US" w:eastAsia="zh-CN"/>
        </w:rPr>
        <w:t>第二章支持举办高端体育赛事，共3条，主要内容为</w:t>
      </w:r>
      <w:r>
        <w:rPr>
          <w:rFonts w:hint="eastAsia" w:ascii="仿宋_GB2312" w:hAnsi="仿宋_GB2312" w:eastAsia="仿宋_GB2312"/>
          <w:color w:val="auto"/>
          <w:sz w:val="32"/>
          <w:szCs w:val="32"/>
          <w:highlight w:val="none"/>
        </w:rPr>
        <w:t>鼓励引办国际级高端体育赛事</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鼓励引办国家级高端体育赛事</w:t>
      </w:r>
      <w:r>
        <w:rPr>
          <w:rFonts w:hint="eastAsia" w:ascii="仿宋_GB2312" w:hAnsi="仿宋_GB2312" w:eastAsia="仿宋_GB2312"/>
          <w:color w:val="auto"/>
          <w:sz w:val="32"/>
          <w:szCs w:val="32"/>
          <w:highlight w:val="none"/>
          <w:lang w:eastAsia="zh-CN"/>
        </w:rPr>
        <w:t>、鼓励创办省级自主品牌赛事。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olor w:val="auto"/>
          <w:sz w:val="32"/>
          <w:szCs w:val="32"/>
          <w:highlight w:val="none"/>
          <w:lang w:eastAsia="zh-CN"/>
        </w:rPr>
        <w:t>第三章引进高水平职业体育俱乐部，共</w:t>
      </w:r>
      <w:r>
        <w:rPr>
          <w:rFonts w:hint="eastAsia" w:ascii="仿宋_GB2312" w:hAnsi="仿宋_GB2312" w:eastAsia="仿宋_GB2312"/>
          <w:color w:val="auto"/>
          <w:sz w:val="32"/>
          <w:szCs w:val="32"/>
          <w:highlight w:val="none"/>
          <w:lang w:val="en-US" w:eastAsia="zh-CN"/>
        </w:rPr>
        <w:t>3条，主要内容为</w:t>
      </w:r>
      <w:r>
        <w:rPr>
          <w:rFonts w:hint="eastAsia" w:ascii="仿宋_GB2312" w:hAnsi="宋体" w:eastAsia="仿宋_GB2312" w:cs="宋体"/>
          <w:color w:val="auto"/>
          <w:sz w:val="32"/>
          <w:szCs w:val="32"/>
          <w:highlight w:val="none"/>
          <w:lang w:eastAsia="zh-CN"/>
        </w:rPr>
        <w:t>鼓励职业体育俱乐部落户、鼓励俱乐部</w:t>
      </w:r>
      <w:r>
        <w:rPr>
          <w:rFonts w:hint="eastAsia" w:ascii="仿宋_GB2312" w:hAnsi="宋体" w:eastAsia="仿宋_GB2312" w:cs="宋体"/>
          <w:color w:val="auto"/>
          <w:sz w:val="32"/>
          <w:szCs w:val="32"/>
          <w:highlight w:val="none"/>
        </w:rPr>
        <w:t>参加顶级职业联赛</w:t>
      </w:r>
      <w:r>
        <w:rPr>
          <w:rFonts w:hint="eastAsia" w:ascii="仿宋_GB2312" w:hAnsi="宋体" w:eastAsia="仿宋_GB2312" w:cs="宋体"/>
          <w:color w:val="auto"/>
          <w:sz w:val="32"/>
          <w:szCs w:val="32"/>
          <w:highlight w:val="none"/>
          <w:lang w:eastAsia="zh-CN"/>
        </w:rPr>
        <w:t>、奖励职业体育俱乐部优异成绩</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sz w:val="32"/>
          <w:szCs w:val="32"/>
          <w:lang w:eastAsia="zh-CN"/>
        </w:rPr>
        <w:t>第四章鼓励新兴体育运动发展，共</w:t>
      </w:r>
      <w:r>
        <w:rPr>
          <w:rFonts w:hint="eastAsia" w:ascii="仿宋_GB2312" w:hAnsi="仿宋_GB2312" w:eastAsia="仿宋_GB2312" w:cs="仿宋_GB2312"/>
          <w:sz w:val="32"/>
          <w:szCs w:val="32"/>
          <w:lang w:val="en-US" w:eastAsia="zh-CN"/>
        </w:rPr>
        <w:t>1条，主要内容为</w:t>
      </w:r>
      <w:r>
        <w:rPr>
          <w:rFonts w:hint="eastAsia" w:ascii="仿宋_GB2312" w:hAnsi="仿宋" w:eastAsia="仿宋_GB2312"/>
          <w:color w:val="auto"/>
          <w:sz w:val="32"/>
          <w:szCs w:val="32"/>
          <w:highlight w:val="none"/>
          <w:lang w:eastAsia="zh-CN"/>
        </w:rPr>
        <w:t>支持</w:t>
      </w:r>
      <w:r>
        <w:rPr>
          <w:rFonts w:hint="eastAsia" w:ascii="仿宋_GB2312" w:hAnsi="仿宋" w:eastAsia="仿宋_GB2312"/>
          <w:color w:val="auto"/>
          <w:sz w:val="32"/>
          <w:szCs w:val="32"/>
          <w:highlight w:val="none"/>
        </w:rPr>
        <w:t>新兴体育</w:t>
      </w:r>
      <w:r>
        <w:rPr>
          <w:rFonts w:hint="eastAsia" w:ascii="仿宋_GB2312" w:hAnsi="仿宋" w:eastAsia="仿宋_GB2312"/>
          <w:color w:val="auto"/>
          <w:sz w:val="32"/>
          <w:szCs w:val="32"/>
          <w:highlight w:val="none"/>
          <w:lang w:eastAsia="zh-CN"/>
        </w:rPr>
        <w:t>运动发展。</w:t>
      </w:r>
    </w:p>
    <w:p>
      <w:pPr>
        <w:pStyle w:val="2"/>
        <w:rPr>
          <w:rFonts w:hint="eastAsia" w:ascii="仿宋_GB2312" w:hAnsi="仿宋_GB2312"/>
          <w:color w:val="auto"/>
          <w:sz w:val="32"/>
          <w:szCs w:val="32"/>
          <w:highlight w:val="none"/>
          <w:lang w:eastAsia="zh-CN"/>
        </w:rPr>
      </w:pPr>
      <w:r>
        <w:rPr>
          <w:rFonts w:hint="eastAsia"/>
          <w:lang w:val="en-US" w:eastAsia="zh-CN"/>
        </w:rPr>
        <w:t>第五章鼓励数字体育发展，</w:t>
      </w:r>
      <w:r>
        <w:rPr>
          <w:rFonts w:hint="eastAsia" w:ascii="仿宋_GB2312" w:hAnsi="仿宋_GB2312"/>
          <w:color w:val="auto"/>
          <w:sz w:val="32"/>
          <w:szCs w:val="32"/>
          <w:highlight w:val="none"/>
          <w:lang w:val="en-US" w:eastAsia="zh-CN"/>
        </w:rPr>
        <w:t>共3条</w:t>
      </w:r>
      <w:r>
        <w:rPr>
          <w:rFonts w:hint="eastAsia"/>
          <w:lang w:val="en-US" w:eastAsia="zh-CN"/>
        </w:rPr>
        <w:t>，主要内容为</w:t>
      </w:r>
      <w:r>
        <w:rPr>
          <w:rFonts w:hint="eastAsia" w:ascii="仿宋_GB2312" w:hAnsi="仿宋_GB2312" w:eastAsia="仿宋_GB2312"/>
          <w:color w:val="auto"/>
          <w:sz w:val="32"/>
          <w:szCs w:val="32"/>
          <w:highlight w:val="none"/>
        </w:rPr>
        <w:t>智慧场馆运营扶持</w:t>
      </w:r>
      <w:r>
        <w:rPr>
          <w:rFonts w:hint="eastAsia" w:ascii="仿宋_GB2312" w:hAnsi="仿宋_GB2312"/>
          <w:color w:val="auto"/>
          <w:sz w:val="32"/>
          <w:szCs w:val="32"/>
          <w:highlight w:val="none"/>
          <w:lang w:eastAsia="zh-CN"/>
        </w:rPr>
        <w:t>、</w:t>
      </w:r>
      <w:r>
        <w:rPr>
          <w:rFonts w:hint="eastAsia" w:ascii="仿宋_GB2312" w:hAnsi="仿宋_GB2312" w:eastAsia="仿宋_GB2312"/>
          <w:color w:val="auto"/>
          <w:sz w:val="32"/>
          <w:szCs w:val="32"/>
          <w:highlight w:val="none"/>
        </w:rPr>
        <w:t>数字体育参展扶持</w:t>
      </w:r>
      <w:r>
        <w:rPr>
          <w:rFonts w:hint="eastAsia" w:ascii="仿宋_GB2312" w:hAnsi="仿宋_GB2312"/>
          <w:color w:val="auto"/>
          <w:sz w:val="32"/>
          <w:szCs w:val="32"/>
          <w:highlight w:val="none"/>
          <w:lang w:eastAsia="zh-CN"/>
        </w:rPr>
        <w:t>、</w:t>
      </w:r>
      <w:r>
        <w:rPr>
          <w:rFonts w:hint="eastAsia" w:ascii="仿宋_GB2312" w:hAnsi="仿宋_GB2312" w:eastAsia="仿宋_GB2312"/>
          <w:color w:val="auto"/>
          <w:sz w:val="32"/>
          <w:szCs w:val="32"/>
          <w:highlight w:val="none"/>
        </w:rPr>
        <w:t>数字体育竞赛扶持</w:t>
      </w:r>
      <w:r>
        <w:rPr>
          <w:rFonts w:hint="eastAsia" w:ascii="仿宋_GB2312" w:hAnsi="仿宋_GB2312"/>
          <w:color w:val="auto"/>
          <w:sz w:val="32"/>
          <w:szCs w:val="32"/>
          <w:highlight w:val="none"/>
          <w:lang w:eastAsia="zh-CN"/>
        </w:rPr>
        <w:t>。</w:t>
      </w:r>
    </w:p>
    <w:p>
      <w:pPr>
        <w:pStyle w:val="2"/>
        <w:rPr>
          <w:rFonts w:hint="eastAsia" w:ascii="仿宋_GB2312" w:hAnsi="仿宋_GB2312" w:eastAsia="仿宋_GB2312" w:cs="仿宋_GB2312"/>
          <w:color w:val="auto"/>
          <w:sz w:val="32"/>
          <w:szCs w:val="32"/>
          <w:highlight w:val="none"/>
          <w:lang w:eastAsia="zh-CN"/>
        </w:rPr>
      </w:pPr>
      <w:r>
        <w:rPr>
          <w:rFonts w:hint="eastAsia" w:ascii="仿宋_GB2312" w:hAnsi="仿宋_GB2312"/>
          <w:color w:val="auto"/>
          <w:sz w:val="32"/>
          <w:szCs w:val="32"/>
          <w:highlight w:val="none"/>
          <w:lang w:val="en-US" w:eastAsia="zh-CN"/>
        </w:rPr>
        <w:t>第六章扶持程序，共3条，主要内容为</w:t>
      </w:r>
      <w:r>
        <w:rPr>
          <w:rFonts w:hint="eastAsia" w:ascii="仿宋_GB2312" w:hAnsi="仿宋_GB2312" w:eastAsia="仿宋_GB2312" w:cs="仿宋_GB2312"/>
          <w:color w:val="auto"/>
          <w:sz w:val="32"/>
          <w:szCs w:val="32"/>
          <w:highlight w:val="none"/>
          <w:lang w:eastAsia="zh-CN"/>
        </w:rPr>
        <w:t>扶持</w:t>
      </w:r>
      <w:r>
        <w:rPr>
          <w:rFonts w:hint="eastAsia" w:ascii="仿宋_GB2312" w:hAnsi="仿宋_GB2312" w:cs="仿宋_GB2312"/>
          <w:color w:val="auto"/>
          <w:sz w:val="32"/>
          <w:szCs w:val="32"/>
          <w:highlight w:val="none"/>
          <w:lang w:eastAsia="zh-CN"/>
        </w:rPr>
        <w:t>程序、计划外重点项目扶持说明、</w:t>
      </w:r>
      <w:r>
        <w:rPr>
          <w:rFonts w:hint="eastAsia" w:ascii="仿宋_GB2312" w:hAnsi="仿宋_GB2312" w:eastAsia="仿宋_GB2312"/>
          <w:color w:val="auto"/>
          <w:sz w:val="32"/>
          <w:szCs w:val="32"/>
          <w:highlight w:val="none"/>
        </w:rPr>
        <w:t>计划外重点项目</w:t>
      </w:r>
      <w:r>
        <w:rPr>
          <w:rFonts w:hint="eastAsia" w:ascii="仿宋_GB2312" w:hAnsi="仿宋_GB2312" w:eastAsia="仿宋_GB2312"/>
          <w:color w:val="auto"/>
          <w:sz w:val="32"/>
          <w:szCs w:val="32"/>
          <w:highlight w:val="none"/>
          <w:lang w:eastAsia="zh-CN"/>
        </w:rPr>
        <w:t>扶持</w:t>
      </w:r>
      <w:r>
        <w:rPr>
          <w:rFonts w:hint="eastAsia" w:ascii="仿宋_GB2312" w:hAnsi="仿宋_GB2312" w:eastAsia="仿宋_GB2312"/>
          <w:color w:val="auto"/>
          <w:sz w:val="32"/>
          <w:szCs w:val="32"/>
          <w:highlight w:val="none"/>
        </w:rPr>
        <w:t>程序</w:t>
      </w:r>
      <w:r>
        <w:rPr>
          <w:rFonts w:hint="eastAsia" w:ascii="仿宋_GB2312" w:hAnsi="仿宋_GB2312"/>
          <w:color w:val="auto"/>
          <w:sz w:val="32"/>
          <w:szCs w:val="32"/>
          <w:highlight w:val="none"/>
          <w:lang w:eastAsia="zh-CN"/>
        </w:rPr>
        <w:t>。</w:t>
      </w:r>
    </w:p>
    <w:p>
      <w:pPr>
        <w:pStyle w:val="2"/>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第七章监督检查和绩效管理，共4条，主要内容为</w:t>
      </w:r>
      <w:r>
        <w:rPr>
          <w:rFonts w:hint="eastAsia" w:ascii="仿宋_GB2312" w:hAnsi="仿宋_GB2312" w:eastAsia="仿宋_GB2312"/>
          <w:color w:val="auto"/>
          <w:sz w:val="32"/>
          <w:szCs w:val="32"/>
          <w:highlight w:val="none"/>
        </w:rPr>
        <w:t>项目绩效目标</w:t>
      </w:r>
      <w:r>
        <w:rPr>
          <w:rFonts w:hint="eastAsia" w:ascii="仿宋_GB2312" w:hAnsi="仿宋_GB2312"/>
          <w:color w:val="auto"/>
          <w:sz w:val="32"/>
          <w:szCs w:val="32"/>
          <w:highlight w:val="none"/>
          <w:lang w:eastAsia="zh-CN"/>
        </w:rPr>
        <w:t>管理</w:t>
      </w:r>
      <w:r>
        <w:rPr>
          <w:rFonts w:hint="eastAsia" w:ascii="仿宋_GB2312" w:hAnsi="仿宋_GB2312" w:cs="仿宋_GB2312"/>
          <w:color w:val="auto"/>
          <w:sz w:val="32"/>
          <w:szCs w:val="32"/>
          <w:highlight w:val="none"/>
          <w:lang w:val="en-US" w:eastAsia="zh-CN"/>
        </w:rPr>
        <w:t>、周期性项目绩效评价、合法性审查、退款情况说明。</w:t>
      </w:r>
    </w:p>
    <w:p>
      <w:pPr>
        <w:pStyle w:val="2"/>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第八章附则，共2条，主要内容为数字说明和时效性。</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contextualSpacing/>
        <w:textAlignment w:val="auto"/>
        <w:rPr>
          <w:rFonts w:hint="eastAsia" w:ascii="黑体" w:hAnsi="黑体" w:eastAsia="黑体" w:cs="黑体"/>
          <w:sz w:val="32"/>
          <w:szCs w:val="32"/>
        </w:rPr>
      </w:pPr>
      <w:r>
        <w:rPr>
          <w:rFonts w:hint="eastAsia" w:ascii="黑体" w:hAnsi="黑体" w:eastAsia="黑体" w:cs="黑体"/>
          <w:sz w:val="32"/>
          <w:szCs w:val="32"/>
        </w:rPr>
        <w:t>四、政策亮点</w:t>
      </w:r>
      <w:bookmarkStart w:id="0" w:name="_GoBack"/>
      <w:bookmarkEnd w:id="0"/>
    </w:p>
    <w:p>
      <w:pPr>
        <w:adjustRightInd w:val="0"/>
        <w:spacing w:line="560" w:lineRule="exact"/>
        <w:ind w:firstLine="640"/>
        <w:contextualSpacing/>
        <w:rPr>
          <w:rFonts w:ascii="楷体_GB2312" w:hAnsi="仿宋_GB2312" w:eastAsia="楷体_GB2312" w:cs="仿宋_GB2312"/>
          <w:b/>
          <w:sz w:val="32"/>
          <w:szCs w:val="32"/>
        </w:rPr>
      </w:pPr>
      <w:r>
        <w:rPr>
          <w:rFonts w:hint="eastAsia" w:ascii="楷体_GB2312" w:hAnsi="仿宋_GB2312" w:eastAsia="楷体_GB2312" w:cs="仿宋_GB2312"/>
          <w:b/>
          <w:sz w:val="32"/>
          <w:szCs w:val="32"/>
        </w:rPr>
        <w:t>（一）</w:t>
      </w:r>
      <w:r>
        <w:rPr>
          <w:rFonts w:hint="eastAsia" w:ascii="楷体_GB2312" w:hAnsi="仿宋_GB2312" w:eastAsia="楷体_GB2312" w:cs="仿宋_GB2312"/>
          <w:b/>
          <w:sz w:val="32"/>
          <w:szCs w:val="32"/>
          <w:lang w:eastAsia="zh-CN"/>
        </w:rPr>
        <w:t>扶持的项目更具有针对性</w:t>
      </w:r>
      <w:r>
        <w:rPr>
          <w:rFonts w:hint="eastAsia" w:ascii="楷体_GB2312" w:hAnsi="仿宋_GB2312" w:eastAsia="楷体_GB2312" w:cs="仿宋_GB2312"/>
          <w:b/>
          <w:sz w:val="32"/>
          <w:szCs w:val="32"/>
        </w:rPr>
        <w:t xml:space="preserve">。  </w:t>
      </w:r>
    </w:p>
    <w:p>
      <w:pPr>
        <w:adjustRightInd w:val="0"/>
        <w:spacing w:line="560" w:lineRule="exact"/>
        <w:ind w:firstLine="640"/>
        <w:contextualSpacing/>
        <w:rPr>
          <w:rFonts w:hint="eastAsia" w:ascii="仿宋_GB2312" w:hAnsi="华文仿宋" w:eastAsia="仿宋_GB2312"/>
          <w:color w:val="auto"/>
          <w:sz w:val="32"/>
          <w:szCs w:val="32"/>
          <w:highlight w:val="none"/>
          <w:lang w:eastAsia="zh-CN"/>
        </w:rPr>
      </w:pPr>
      <w:r>
        <w:rPr>
          <w:rFonts w:hint="eastAsia" w:ascii="仿宋_GB2312" w:hAnsi="仿宋_GB2312" w:eastAsia="仿宋_GB2312" w:cs="仿宋_GB2312"/>
          <w:bCs/>
          <w:sz w:val="32"/>
          <w:szCs w:val="32"/>
          <w:lang w:eastAsia="zh-CN"/>
        </w:rPr>
        <w:t>扶持项目主要针对打造</w:t>
      </w:r>
      <w:r>
        <w:rPr>
          <w:rFonts w:hint="eastAsia" w:ascii="仿宋_GB2312" w:hAnsi="仿宋_GB2312" w:eastAsia="仿宋_GB2312" w:cs="仿宋_GB2312"/>
          <w:bCs/>
          <w:sz w:val="32"/>
          <w:szCs w:val="32"/>
        </w:rPr>
        <w:t>“龙华特色”体育品牌</w:t>
      </w:r>
      <w:r>
        <w:rPr>
          <w:rFonts w:hint="eastAsia" w:ascii="仿宋_GB2312" w:hAnsi="仿宋_GB2312" w:eastAsia="仿宋_GB2312" w:cs="仿宋_GB2312"/>
          <w:bCs/>
          <w:sz w:val="32"/>
          <w:szCs w:val="32"/>
          <w:lang w:eastAsia="zh-CN"/>
        </w:rPr>
        <w:t>建设的需求，大力促进高端体育的发展。一方面鼓励引办</w:t>
      </w:r>
      <w:r>
        <w:rPr>
          <w:rFonts w:hint="eastAsia" w:ascii="仿宋_GB2312" w:hAnsi="华文仿宋" w:eastAsia="仿宋_GB2312"/>
          <w:color w:val="auto"/>
          <w:sz w:val="32"/>
          <w:szCs w:val="32"/>
          <w:highlight w:val="none"/>
        </w:rPr>
        <w:t>国际级高端体育赛事</w:t>
      </w:r>
      <w:r>
        <w:rPr>
          <w:rFonts w:hint="eastAsia" w:ascii="仿宋_GB2312" w:hAnsi="华文仿宋" w:eastAsia="仿宋_GB2312"/>
          <w:color w:val="auto"/>
          <w:sz w:val="32"/>
          <w:szCs w:val="32"/>
          <w:highlight w:val="none"/>
          <w:lang w:eastAsia="zh-CN"/>
        </w:rPr>
        <w:t>和国家级</w:t>
      </w:r>
      <w:r>
        <w:rPr>
          <w:rFonts w:hint="eastAsia" w:ascii="仿宋_GB2312" w:hAnsi="华文仿宋" w:eastAsia="仿宋_GB2312"/>
          <w:color w:val="auto"/>
          <w:sz w:val="32"/>
          <w:szCs w:val="32"/>
          <w:highlight w:val="none"/>
        </w:rPr>
        <w:t>高端体育赛事活动</w:t>
      </w:r>
      <w:r>
        <w:rPr>
          <w:rFonts w:hint="eastAsia" w:ascii="仿宋_GB2312" w:hAnsi="华文仿宋" w:eastAsia="仿宋_GB2312"/>
          <w:color w:val="auto"/>
          <w:sz w:val="32"/>
          <w:szCs w:val="32"/>
          <w:highlight w:val="none"/>
          <w:lang w:eastAsia="zh-CN"/>
        </w:rPr>
        <w:t>、引进高水平职业体育俱乐部、扶持</w:t>
      </w:r>
      <w:r>
        <w:rPr>
          <w:rFonts w:hint="eastAsia" w:ascii="仿宋_GB2312" w:hAnsi="宋体" w:eastAsia="仿宋_GB2312" w:cs="宋体"/>
          <w:color w:val="auto"/>
          <w:sz w:val="32"/>
          <w:szCs w:val="32"/>
          <w:highlight w:val="none"/>
        </w:rPr>
        <w:t>顶级职业联赛</w:t>
      </w:r>
      <w:r>
        <w:rPr>
          <w:rFonts w:hint="eastAsia" w:ascii="仿宋_GB2312" w:hAnsi="宋体" w:eastAsia="仿宋_GB2312" w:cs="宋体"/>
          <w:color w:val="auto"/>
          <w:sz w:val="32"/>
          <w:szCs w:val="32"/>
          <w:highlight w:val="none"/>
          <w:lang w:eastAsia="zh-CN"/>
        </w:rPr>
        <w:t>、奖励</w:t>
      </w:r>
      <w:r>
        <w:rPr>
          <w:rFonts w:hint="eastAsia" w:ascii="仿宋_GB2312" w:hAnsi="宋体" w:eastAsia="仿宋_GB2312" w:cs="宋体"/>
          <w:color w:val="auto"/>
          <w:sz w:val="32"/>
          <w:szCs w:val="32"/>
          <w:highlight w:val="none"/>
        </w:rPr>
        <w:t>职业联赛优异成绩</w:t>
      </w:r>
      <w:r>
        <w:rPr>
          <w:rFonts w:hint="eastAsia" w:ascii="仿宋_GB2312" w:hAnsi="宋体" w:eastAsia="仿宋_GB2312" w:cs="宋体"/>
          <w:color w:val="auto"/>
          <w:sz w:val="32"/>
          <w:szCs w:val="32"/>
          <w:highlight w:val="none"/>
          <w:lang w:eastAsia="zh-CN"/>
        </w:rPr>
        <w:t>，</w:t>
      </w:r>
      <w:r>
        <w:rPr>
          <w:rFonts w:hint="eastAsia" w:ascii="仿宋_GB2312" w:hAnsi="华文仿宋" w:eastAsia="仿宋_GB2312"/>
          <w:color w:val="auto"/>
          <w:sz w:val="32"/>
          <w:szCs w:val="32"/>
          <w:highlight w:val="none"/>
          <w:lang w:eastAsia="zh-CN"/>
        </w:rPr>
        <w:t>促进我区高端体育项目的发展；另一方面</w:t>
      </w:r>
      <w:r>
        <w:rPr>
          <w:rFonts w:hint="eastAsia" w:ascii="仿宋_GB2312" w:hAnsi="仿宋_GB2312" w:eastAsia="仿宋_GB2312"/>
          <w:color w:val="auto"/>
          <w:sz w:val="32"/>
          <w:szCs w:val="32"/>
          <w:highlight w:val="none"/>
        </w:rPr>
        <w:t>鼓励创办本省自主品牌赛事</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培育和扶持一批符合我区体育发展规划</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市场前景好、社会影响力大、品牌知名度高的本省原创品牌赛事</w:t>
      </w:r>
      <w:r>
        <w:rPr>
          <w:rFonts w:hint="eastAsia" w:ascii="仿宋_GB2312" w:hAnsi="仿宋_GB2312" w:eastAsia="仿宋_GB2312"/>
          <w:color w:val="auto"/>
          <w:sz w:val="32"/>
          <w:szCs w:val="32"/>
          <w:highlight w:val="none"/>
          <w:lang w:eastAsia="zh-CN"/>
        </w:rPr>
        <w:t>，通过</w:t>
      </w:r>
      <w:r>
        <w:rPr>
          <w:rFonts w:hint="eastAsia" w:ascii="仿宋_GB2312" w:hAnsi="仿宋_GB2312" w:eastAsia="仿宋_GB2312"/>
          <w:color w:val="auto"/>
          <w:sz w:val="32"/>
          <w:szCs w:val="32"/>
          <w:highlight w:val="none"/>
        </w:rPr>
        <w:t>自主品牌赛事</w:t>
      </w:r>
      <w:r>
        <w:rPr>
          <w:rFonts w:hint="eastAsia" w:ascii="仿宋_GB2312" w:hAnsi="仿宋_GB2312" w:eastAsia="仿宋_GB2312"/>
          <w:color w:val="auto"/>
          <w:sz w:val="32"/>
          <w:szCs w:val="32"/>
          <w:highlight w:val="none"/>
          <w:lang w:eastAsia="zh-CN"/>
        </w:rPr>
        <w:t>扶持，提升我区体育品牌的影响力。</w:t>
      </w:r>
    </w:p>
    <w:p>
      <w:pPr>
        <w:adjustRightInd w:val="0"/>
        <w:spacing w:line="560" w:lineRule="exact"/>
        <w:ind w:firstLine="640"/>
        <w:contextualSpacing/>
        <w:rPr>
          <w:rFonts w:ascii="楷体_GB2312" w:hAnsi="仿宋_GB2312" w:eastAsia="楷体_GB2312" w:cs="仿宋_GB2312"/>
          <w:b/>
          <w:sz w:val="32"/>
          <w:szCs w:val="32"/>
        </w:rPr>
      </w:pPr>
      <w:r>
        <w:rPr>
          <w:rFonts w:hint="eastAsia" w:ascii="楷体_GB2312" w:hAnsi="仿宋_GB2312" w:eastAsia="楷体_GB2312" w:cs="仿宋_GB2312"/>
          <w:b/>
          <w:sz w:val="32"/>
          <w:szCs w:val="32"/>
        </w:rPr>
        <w:t>（二）</w:t>
      </w:r>
      <w:r>
        <w:rPr>
          <w:rFonts w:hint="eastAsia" w:ascii="楷体_GB2312" w:hAnsi="仿宋_GB2312" w:eastAsia="楷体_GB2312" w:cs="仿宋_GB2312"/>
          <w:b/>
          <w:sz w:val="32"/>
          <w:szCs w:val="32"/>
          <w:lang w:eastAsia="zh-CN"/>
        </w:rPr>
        <w:t>政策更具有前瞻性和创新性</w:t>
      </w:r>
      <w:r>
        <w:rPr>
          <w:rFonts w:hint="eastAsia" w:ascii="楷体_GB2312" w:hAnsi="仿宋_GB2312" w:eastAsia="楷体_GB2312" w:cs="仿宋_GB2312"/>
          <w:b/>
          <w:sz w:val="32"/>
          <w:szCs w:val="32"/>
        </w:rPr>
        <w:t xml:space="preserve">。  </w:t>
      </w:r>
    </w:p>
    <w:p>
      <w:pPr>
        <w:adjustRightInd w:val="0"/>
        <w:spacing w:line="560" w:lineRule="exact"/>
        <w:ind w:firstLine="640"/>
        <w:contextualSpacing/>
        <w:rPr>
          <w:rFonts w:hint="eastAsia" w:ascii="仿宋_GB2312" w:hAnsi="黑体" w:eastAsia="仿宋_GB2312" w:cs="黑体"/>
          <w:sz w:val="32"/>
          <w:szCs w:val="32"/>
        </w:rPr>
      </w:pPr>
      <w:r>
        <w:rPr>
          <w:rFonts w:hint="eastAsia" w:ascii="仿宋_GB2312" w:hAnsi="黑体" w:eastAsia="仿宋_GB2312" w:cs="黑体"/>
          <w:sz w:val="32"/>
          <w:szCs w:val="32"/>
          <w:lang w:eastAsia="zh-CN"/>
        </w:rPr>
        <w:t>纵观各区</w:t>
      </w:r>
      <w:r>
        <w:rPr>
          <w:rFonts w:hint="eastAsia" w:ascii="仿宋_GB2312" w:hAnsi="黑体" w:eastAsia="仿宋_GB2312" w:cs="黑体"/>
          <w:sz w:val="32"/>
          <w:szCs w:val="32"/>
        </w:rPr>
        <w:t>，</w:t>
      </w:r>
      <w:r>
        <w:rPr>
          <w:rFonts w:hint="eastAsia" w:ascii="仿宋_GB2312" w:hAnsi="黑体" w:eastAsia="仿宋_GB2312" w:cs="黑体"/>
          <w:sz w:val="32"/>
          <w:szCs w:val="32"/>
          <w:lang w:eastAsia="zh-CN"/>
        </w:rPr>
        <w:t>暂未对新兴体育运动和数字体育发展作出政策扶持，相比之下，</w:t>
      </w:r>
      <w:r>
        <w:rPr>
          <w:rFonts w:hint="eastAsia" w:ascii="仿宋_GB2312" w:hAnsi="黑体" w:eastAsia="仿宋_GB2312" w:cs="黑体"/>
          <w:sz w:val="32"/>
          <w:szCs w:val="32"/>
        </w:rPr>
        <w:t>我区</w:t>
      </w:r>
      <w:r>
        <w:rPr>
          <w:rFonts w:hint="eastAsia" w:ascii="仿宋_GB2312" w:hAnsi="黑体" w:eastAsia="仿宋_GB2312" w:cs="黑体"/>
          <w:sz w:val="32"/>
          <w:szCs w:val="32"/>
          <w:lang w:eastAsia="zh-CN"/>
        </w:rPr>
        <w:t>的扶持政策</w:t>
      </w:r>
      <w:r>
        <w:rPr>
          <w:rFonts w:hint="eastAsia" w:ascii="仿宋_GB2312" w:hAnsi="黑体" w:eastAsia="仿宋_GB2312" w:cs="黑体"/>
          <w:sz w:val="32"/>
          <w:szCs w:val="32"/>
        </w:rPr>
        <w:t>具有</w:t>
      </w:r>
      <w:r>
        <w:rPr>
          <w:rFonts w:hint="eastAsia" w:ascii="仿宋_GB2312" w:hAnsi="黑体" w:eastAsia="仿宋_GB2312" w:cs="黑体"/>
          <w:sz w:val="32"/>
          <w:szCs w:val="32"/>
          <w:lang w:eastAsia="zh-CN"/>
        </w:rPr>
        <w:t>很强的前瞻性和创新性</w:t>
      </w:r>
      <w:r>
        <w:rPr>
          <w:rFonts w:hint="eastAsia" w:ascii="仿宋_GB2312" w:hAnsi="黑体" w:eastAsia="仿宋_GB2312" w:cs="黑体"/>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contextualSpacing/>
        <w:textAlignment w:val="auto"/>
        <w:rPr>
          <w:rFonts w:hint="eastAsia" w:ascii="仿宋_GB2312" w:hAnsi="仿宋" w:eastAsia="仿宋_GB2312"/>
          <w:color w:val="auto"/>
          <w:sz w:val="32"/>
          <w:szCs w:val="32"/>
          <w:highlight w:val="none"/>
        </w:rPr>
      </w:pPr>
      <w:r>
        <w:rPr>
          <w:rFonts w:hint="eastAsia" w:ascii="仿宋_GB2312" w:hAnsi="黑体" w:eastAsia="仿宋_GB2312" w:cs="黑体"/>
          <w:b/>
          <w:sz w:val="32"/>
          <w:szCs w:val="32"/>
          <w:lang w:val="en-US" w:eastAsia="zh-CN"/>
        </w:rPr>
        <w:t>1.</w:t>
      </w:r>
      <w:r>
        <w:rPr>
          <w:rFonts w:hint="eastAsia" w:ascii="仿宋_GB2312" w:hAnsi="黑体" w:eastAsia="仿宋_GB2312" w:cs="黑体"/>
          <w:b/>
          <w:sz w:val="32"/>
          <w:szCs w:val="32"/>
        </w:rPr>
        <w:t>鼓励新兴体育运动</w:t>
      </w:r>
      <w:r>
        <w:rPr>
          <w:rFonts w:hint="eastAsia" w:ascii="仿宋_GB2312" w:hAnsi="黑体" w:eastAsia="仿宋_GB2312" w:cs="黑体"/>
          <w:b/>
          <w:sz w:val="32"/>
          <w:szCs w:val="32"/>
          <w:lang w:eastAsia="zh-CN"/>
        </w:rPr>
        <w:t>发展。</w:t>
      </w:r>
      <w:r>
        <w:rPr>
          <w:rFonts w:hint="eastAsia" w:ascii="仿宋_GB2312" w:hAnsi="仿宋" w:eastAsia="仿宋_GB2312"/>
          <w:color w:val="auto"/>
          <w:sz w:val="32"/>
          <w:szCs w:val="32"/>
          <w:highlight w:val="none"/>
        </w:rPr>
        <w:t>响应国家战略</w:t>
      </w:r>
      <w:r>
        <w:rPr>
          <w:rFonts w:hint="eastAsia" w:ascii="仿宋_GB2312" w:hAnsi="仿宋" w:eastAsia="仿宋_GB2312"/>
          <w:color w:val="auto"/>
          <w:sz w:val="32"/>
          <w:szCs w:val="32"/>
          <w:highlight w:val="none"/>
          <w:lang w:eastAsia="zh-CN"/>
        </w:rPr>
        <w:t>，扶持</w:t>
      </w:r>
      <w:r>
        <w:rPr>
          <w:rFonts w:hint="eastAsia" w:ascii="仿宋_GB2312" w:hAnsi="仿宋" w:eastAsia="仿宋_GB2312"/>
          <w:color w:val="auto"/>
          <w:sz w:val="32"/>
          <w:szCs w:val="32"/>
          <w:highlight w:val="none"/>
        </w:rPr>
        <w:t>举办冬奥会参赛项目的冰雪运动赛事</w:t>
      </w:r>
      <w:r>
        <w:rPr>
          <w:rFonts w:hint="eastAsia" w:ascii="仿宋_GB2312" w:hAnsi="仿宋" w:eastAsia="仿宋_GB2312"/>
          <w:color w:val="auto"/>
          <w:sz w:val="32"/>
          <w:szCs w:val="32"/>
          <w:highlight w:val="none"/>
          <w:lang w:eastAsia="zh-CN"/>
        </w:rPr>
        <w:t>。创建区域品牌，对城区特色运动项目给予一次性落户扶持。引领时尚潮流，扶持举办现代五项赛事活动。</w:t>
      </w:r>
    </w:p>
    <w:p>
      <w:pPr>
        <w:pStyle w:val="2"/>
        <w:keepNext w:val="0"/>
        <w:keepLines w:val="0"/>
        <w:pageBreakBefore w:val="0"/>
        <w:widowControl w:val="0"/>
        <w:kinsoku/>
        <w:wordWrap/>
        <w:overflowPunct/>
        <w:topLinePunct w:val="0"/>
        <w:autoSpaceDE/>
        <w:autoSpaceDN/>
        <w:bidi w:val="0"/>
        <w:snapToGrid/>
        <w:ind w:firstLine="643" w:firstLineChars="200"/>
        <w:textAlignment w:val="auto"/>
        <w:rPr>
          <w:rFonts w:hint="eastAsia" w:eastAsia="仿宋_GB2312"/>
          <w:lang w:eastAsia="zh-CN"/>
        </w:rPr>
      </w:pPr>
      <w:r>
        <w:rPr>
          <w:rFonts w:hint="eastAsia" w:ascii="仿宋_GB2312" w:hAnsi="黑体" w:eastAsia="仿宋_GB2312" w:cs="黑体"/>
          <w:b/>
          <w:kern w:val="2"/>
          <w:sz w:val="32"/>
          <w:szCs w:val="32"/>
          <w:lang w:val="en-US" w:eastAsia="zh-CN" w:bidi="ar-SA"/>
        </w:rPr>
        <w:t>2</w:t>
      </w:r>
      <w:r>
        <w:rPr>
          <w:rFonts w:hint="eastAsia" w:ascii="仿宋_GB2312" w:hAnsi="黑体" w:cs="黑体"/>
          <w:b/>
          <w:kern w:val="2"/>
          <w:sz w:val="32"/>
          <w:szCs w:val="32"/>
          <w:lang w:val="en-US" w:eastAsia="zh-CN" w:bidi="ar-SA"/>
        </w:rPr>
        <w:t>.</w:t>
      </w:r>
      <w:r>
        <w:rPr>
          <w:rFonts w:hint="eastAsia" w:ascii="仿宋_GB2312" w:hAnsi="黑体" w:eastAsia="仿宋_GB2312" w:cs="黑体"/>
          <w:b/>
          <w:kern w:val="2"/>
          <w:sz w:val="32"/>
          <w:szCs w:val="32"/>
          <w:lang w:val="en-US" w:eastAsia="zh-CN" w:bidi="ar-SA"/>
        </w:rPr>
        <w:t>鼓励数字体育发展</w:t>
      </w:r>
      <w:r>
        <w:rPr>
          <w:rFonts w:hint="eastAsia" w:ascii="仿宋_GB2312" w:hAnsi="黑体" w:cs="黑体"/>
          <w:b/>
          <w:kern w:val="2"/>
          <w:sz w:val="32"/>
          <w:szCs w:val="32"/>
          <w:lang w:val="en-US" w:eastAsia="zh-CN" w:bidi="ar-SA"/>
        </w:rPr>
        <w:t>。</w:t>
      </w:r>
      <w:r>
        <w:rPr>
          <w:rFonts w:hint="eastAsia" w:ascii="仿宋_GB2312" w:hAnsi="仿宋" w:eastAsia="仿宋_GB2312" w:cs="Times New Roman"/>
          <w:color w:val="auto"/>
          <w:kern w:val="2"/>
          <w:sz w:val="32"/>
          <w:szCs w:val="32"/>
          <w:highlight w:val="none"/>
          <w:lang w:val="en-US" w:eastAsia="zh-CN" w:bidi="ar-SA"/>
        </w:rPr>
        <w:t>扶持智慧场馆运营，</w:t>
      </w:r>
      <w:r>
        <w:rPr>
          <w:rFonts w:hint="eastAsia" w:ascii="仿宋_GB2312" w:hAnsi="仿宋" w:cs="Times New Roman"/>
          <w:color w:val="auto"/>
          <w:kern w:val="2"/>
          <w:sz w:val="32"/>
          <w:szCs w:val="32"/>
          <w:highlight w:val="none"/>
          <w:lang w:val="en-US" w:eastAsia="zh-CN" w:bidi="ar-SA"/>
        </w:rPr>
        <w:t>对</w:t>
      </w:r>
      <w:r>
        <w:rPr>
          <w:rFonts w:hint="eastAsia" w:ascii="仿宋_GB2312" w:hAnsi="仿宋" w:eastAsia="仿宋_GB2312" w:cs="Times New Roman"/>
          <w:color w:val="auto"/>
          <w:kern w:val="2"/>
          <w:sz w:val="32"/>
          <w:szCs w:val="32"/>
          <w:highlight w:val="none"/>
          <w:lang w:val="en-US" w:eastAsia="zh-CN" w:bidi="ar-SA"/>
        </w:rPr>
        <w:t>实</w:t>
      </w:r>
      <w:r>
        <w:rPr>
          <w:rFonts w:hint="eastAsia" w:ascii="仿宋_GB2312" w:hAnsi="等线" w:eastAsia="仿宋_GB2312"/>
          <w:color w:val="auto"/>
          <w:sz w:val="32"/>
          <w:szCs w:val="32"/>
          <w:highlight w:val="none"/>
        </w:rPr>
        <w:t>现智慧化运营、智慧化管理、智慧化服务、智慧化设施建设等功能应用的体育场馆</w:t>
      </w:r>
      <w:r>
        <w:rPr>
          <w:rFonts w:hint="eastAsia" w:ascii="仿宋_GB2312" w:hAnsi="等线"/>
          <w:color w:val="auto"/>
          <w:sz w:val="32"/>
          <w:szCs w:val="32"/>
          <w:highlight w:val="none"/>
          <w:lang w:eastAsia="zh-CN"/>
        </w:rPr>
        <w:t>给与租金扶持。扶持</w:t>
      </w:r>
      <w:r>
        <w:rPr>
          <w:rFonts w:hint="eastAsia" w:ascii="仿宋_GB2312" w:hAnsi="仿宋_GB2312" w:eastAsia="仿宋_GB2312"/>
          <w:color w:val="auto"/>
          <w:sz w:val="32"/>
          <w:szCs w:val="32"/>
          <w:highlight w:val="none"/>
        </w:rPr>
        <w:t>数字体育</w:t>
      </w:r>
      <w:r>
        <w:rPr>
          <w:rFonts w:hint="eastAsia" w:ascii="仿宋_GB2312" w:hAnsi="仿宋_GB2312"/>
          <w:color w:val="auto"/>
          <w:sz w:val="32"/>
          <w:szCs w:val="32"/>
          <w:highlight w:val="none"/>
          <w:lang w:eastAsia="zh-CN"/>
        </w:rPr>
        <w:t>参展，对参与</w:t>
      </w:r>
      <w:r>
        <w:rPr>
          <w:rFonts w:hint="eastAsia" w:ascii="仿宋_GB2312" w:hAnsi="仿宋_GB2312" w:eastAsia="仿宋_GB2312"/>
          <w:color w:val="auto"/>
          <w:sz w:val="32"/>
          <w:szCs w:val="32"/>
          <w:highlight w:val="none"/>
        </w:rPr>
        <w:t>国内外数字体育专业展会</w:t>
      </w:r>
      <w:r>
        <w:rPr>
          <w:rFonts w:hint="eastAsia" w:ascii="仿宋_GB2312" w:hAnsi="仿宋_GB2312"/>
          <w:color w:val="auto"/>
          <w:sz w:val="32"/>
          <w:szCs w:val="32"/>
          <w:highlight w:val="none"/>
          <w:lang w:eastAsia="zh-CN"/>
        </w:rPr>
        <w:t>的单位给予展费扶持。扶持</w:t>
      </w:r>
      <w:r>
        <w:rPr>
          <w:rFonts w:hint="eastAsia" w:ascii="仿宋_GB2312" w:hAnsi="仿宋_GB2312" w:eastAsia="仿宋_GB2312"/>
          <w:color w:val="auto"/>
          <w:sz w:val="32"/>
          <w:szCs w:val="32"/>
          <w:highlight w:val="none"/>
        </w:rPr>
        <w:t>数字体育竞技大赛</w:t>
      </w:r>
      <w:r>
        <w:rPr>
          <w:rFonts w:hint="eastAsia" w:ascii="仿宋_GB2312" w:hAnsi="仿宋_GB2312"/>
          <w:color w:val="auto"/>
          <w:sz w:val="32"/>
          <w:szCs w:val="32"/>
          <w:highlight w:val="none"/>
          <w:lang w:eastAsia="zh-CN"/>
        </w:rPr>
        <w:t>，</w:t>
      </w:r>
      <w:r>
        <w:rPr>
          <w:rFonts w:hint="eastAsia" w:ascii="仿宋_GB2312" w:hAnsi="仿宋_GB2312" w:eastAsia="仿宋_GB2312"/>
          <w:color w:val="auto"/>
          <w:sz w:val="32"/>
          <w:szCs w:val="32"/>
          <w:highlight w:val="none"/>
        </w:rPr>
        <w:t>鼓励科技与运动相结合</w:t>
      </w:r>
      <w:r>
        <w:rPr>
          <w:rFonts w:hint="eastAsia" w:ascii="仿宋_GB2312" w:hAnsi="仿宋_GB2312"/>
          <w:color w:val="auto"/>
          <w:sz w:val="32"/>
          <w:szCs w:val="32"/>
          <w:highlight w:val="none"/>
          <w:lang w:eastAsia="zh-CN"/>
        </w:rPr>
        <w:t>，引办</w:t>
      </w:r>
      <w:r>
        <w:rPr>
          <w:rFonts w:hint="eastAsia" w:ascii="仿宋_GB2312" w:hAnsi="仿宋_GB2312" w:eastAsia="仿宋_GB2312"/>
          <w:color w:val="auto"/>
          <w:sz w:val="32"/>
          <w:szCs w:val="32"/>
          <w:highlight w:val="none"/>
        </w:rPr>
        <w:t>数字体育运动</w:t>
      </w:r>
      <w:r>
        <w:rPr>
          <w:rFonts w:hint="eastAsia" w:ascii="仿宋_GB2312" w:hAnsi="仿宋_GB2312"/>
          <w:color w:val="auto"/>
          <w:sz w:val="32"/>
          <w:szCs w:val="32"/>
          <w:highlight w:val="none"/>
          <w:lang w:eastAsia="zh-CN"/>
        </w:rPr>
        <w:t>类</w:t>
      </w:r>
      <w:r>
        <w:rPr>
          <w:rFonts w:hint="eastAsia" w:ascii="仿宋_GB2312" w:hAnsi="仿宋_GB2312" w:eastAsia="仿宋_GB2312"/>
          <w:color w:val="auto"/>
          <w:sz w:val="32"/>
          <w:szCs w:val="32"/>
          <w:highlight w:val="none"/>
        </w:rPr>
        <w:t>竞技大赛</w:t>
      </w:r>
      <w:r>
        <w:rPr>
          <w:rFonts w:hint="eastAsia" w:ascii="仿宋_GB2312" w:hAnsi="仿宋_GB2312"/>
          <w:color w:val="auto"/>
          <w:sz w:val="32"/>
          <w:szCs w:val="32"/>
          <w:highlight w:val="none"/>
          <w:lang w:eastAsia="zh-CN"/>
        </w:rPr>
        <w:t>。</w:t>
      </w:r>
    </w:p>
    <w:p>
      <w:pPr>
        <w:adjustRightInd w:val="0"/>
        <w:spacing w:line="560" w:lineRule="exact"/>
        <w:ind w:firstLine="640"/>
        <w:contextualSpacing/>
        <w:rPr>
          <w:rFonts w:ascii="楷体_GB2312" w:hAnsi="仿宋_GB2312" w:eastAsia="楷体_GB2312" w:cs="仿宋_GB2312"/>
          <w:b/>
          <w:sz w:val="32"/>
          <w:szCs w:val="32"/>
        </w:rPr>
      </w:pPr>
      <w:r>
        <w:rPr>
          <w:rFonts w:hint="eastAsia" w:ascii="楷体_GB2312" w:hAnsi="仿宋_GB2312" w:eastAsia="楷体_GB2312" w:cs="仿宋_GB2312"/>
          <w:b/>
          <w:sz w:val="32"/>
          <w:szCs w:val="32"/>
        </w:rPr>
        <w:t>（三）政策可操作性更强。</w:t>
      </w:r>
    </w:p>
    <w:p>
      <w:pPr>
        <w:adjustRightInd w:val="0"/>
        <w:spacing w:line="560" w:lineRule="exact"/>
        <w:ind w:firstLine="640"/>
        <w:contextualSpacing/>
        <w:rPr>
          <w:rFonts w:hint="eastAsia" w:ascii="仿宋_GB2312" w:hAnsi="仿宋" w:eastAsia="仿宋_GB2312"/>
          <w:sz w:val="32"/>
          <w:szCs w:val="32"/>
        </w:rPr>
      </w:pPr>
      <w:r>
        <w:rPr>
          <w:rFonts w:hint="eastAsia" w:ascii="仿宋_GB2312" w:eastAsia="仿宋_GB2312" w:cs="Times New Roman"/>
          <w:b/>
          <w:sz w:val="32"/>
          <w:szCs w:val="30"/>
          <w:lang w:val="zh-CN"/>
        </w:rPr>
        <w:t>一是操作程序更加清晰。</w:t>
      </w:r>
      <w:r>
        <w:rPr>
          <w:rFonts w:hint="eastAsia" w:ascii="仿宋_GB2312" w:eastAsia="仿宋_GB2312" w:cs="Times New Roman"/>
          <w:sz w:val="32"/>
          <w:szCs w:val="30"/>
          <w:lang w:val="zh-CN"/>
        </w:rPr>
        <w:t>办法对专项资金的申请流程进行了明确规定，并详细说明</w:t>
      </w:r>
      <w:r>
        <w:rPr>
          <w:rFonts w:hint="eastAsia" w:ascii="仿宋_GB2312" w:hAnsi="仿宋_GB2312" w:eastAsia="仿宋_GB2312" w:cs="仿宋_GB2312"/>
          <w:color w:val="auto"/>
          <w:sz w:val="32"/>
          <w:szCs w:val="32"/>
          <w:highlight w:val="none"/>
        </w:rPr>
        <w:t>申报项目审定</w:t>
      </w:r>
      <w:r>
        <w:rPr>
          <w:rFonts w:hint="eastAsia" w:ascii="仿宋_GB2312" w:hAnsi="仿宋_GB2312" w:eastAsia="仿宋_GB2312" w:cs="仿宋_GB2312"/>
          <w:color w:val="auto"/>
          <w:sz w:val="32"/>
          <w:szCs w:val="32"/>
          <w:highlight w:val="none"/>
          <w:lang w:eastAsia="zh-CN"/>
        </w:rPr>
        <w:t>过程和</w:t>
      </w:r>
      <w:r>
        <w:rPr>
          <w:rFonts w:hint="eastAsia" w:ascii="仿宋_GB2312" w:hAnsi="仿宋_GB2312" w:eastAsia="仿宋_GB2312" w:cs="仿宋_GB2312"/>
          <w:color w:val="auto"/>
          <w:sz w:val="32"/>
          <w:szCs w:val="32"/>
          <w:highlight w:val="none"/>
        </w:rPr>
        <w:t>资金拨付流程</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s="Times New Roman"/>
          <w:sz w:val="32"/>
          <w:szCs w:val="30"/>
          <w:lang w:val="zh-CN"/>
        </w:rPr>
        <w:t>切实保障各项政策落实到位</w:t>
      </w:r>
      <w:r>
        <w:rPr>
          <w:rFonts w:hint="eastAsia" w:ascii="仿宋_GB2312" w:hAnsi="仿宋" w:eastAsia="仿宋_GB2312"/>
          <w:sz w:val="32"/>
          <w:szCs w:val="32"/>
        </w:rPr>
        <w:t>。</w:t>
      </w:r>
    </w:p>
    <w:p>
      <w:pPr>
        <w:adjustRightInd w:val="0"/>
        <w:spacing w:line="560" w:lineRule="exact"/>
        <w:ind w:firstLine="640"/>
        <w:contextualSpacing/>
        <w:rPr>
          <w:rFonts w:hint="eastAsia" w:ascii="仿宋_GB2312" w:hAnsi="仿宋_GB2312" w:eastAsia="仿宋_GB2312"/>
          <w:color w:val="auto"/>
          <w:sz w:val="32"/>
          <w:szCs w:val="32"/>
          <w:highlight w:val="none"/>
          <w:lang w:eastAsia="zh-CN"/>
        </w:rPr>
      </w:pPr>
      <w:r>
        <w:rPr>
          <w:rFonts w:hint="eastAsia" w:ascii="仿宋_GB2312" w:hAnsi="仿宋" w:eastAsia="仿宋_GB2312"/>
          <w:b/>
          <w:bCs/>
          <w:sz w:val="32"/>
          <w:szCs w:val="32"/>
        </w:rPr>
        <w:t>二</w:t>
      </w:r>
      <w:r>
        <w:rPr>
          <w:rFonts w:hint="eastAsia" w:ascii="仿宋_GB2312" w:eastAsia="仿宋_GB2312" w:cs="Times New Roman"/>
          <w:b/>
          <w:sz w:val="32"/>
          <w:szCs w:val="30"/>
          <w:lang w:val="zh-CN"/>
        </w:rPr>
        <w:t>是建立健全监督检查和绩效管理机制</w:t>
      </w:r>
      <w:r>
        <w:rPr>
          <w:rFonts w:hint="eastAsia" w:ascii="仿宋_GB2312" w:eastAsia="仿宋_GB2312" w:cs="Times New Roman"/>
          <w:sz w:val="32"/>
          <w:szCs w:val="30"/>
          <w:lang w:val="zh-CN"/>
        </w:rPr>
        <w:t>。办法</w:t>
      </w:r>
      <w:r>
        <w:rPr>
          <w:rFonts w:hint="eastAsia" w:ascii="仿宋_GB2312" w:hAnsi="仿宋_GB2312" w:eastAsia="仿宋_GB2312"/>
          <w:color w:val="auto"/>
          <w:sz w:val="32"/>
          <w:szCs w:val="32"/>
          <w:highlight w:val="none"/>
        </w:rPr>
        <w:t>强化专项资金项目绩效目标</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进行绩效全过程管理</w:t>
      </w:r>
      <w:r>
        <w:rPr>
          <w:rFonts w:hint="eastAsia" w:ascii="仿宋_GB2312" w:hAnsi="仿宋_GB2312" w:eastAsia="仿宋_GB2312"/>
          <w:color w:val="auto"/>
          <w:sz w:val="32"/>
          <w:szCs w:val="32"/>
          <w:highlight w:val="none"/>
          <w:lang w:eastAsia="zh-CN"/>
        </w:rPr>
        <w:t>，明确</w:t>
      </w:r>
      <w:r>
        <w:rPr>
          <w:rFonts w:hint="eastAsia" w:ascii="仿宋_GB2312" w:hAnsi="仿宋_GB2312" w:eastAsia="仿宋_GB2312"/>
          <w:color w:val="auto"/>
          <w:sz w:val="32"/>
          <w:szCs w:val="32"/>
          <w:highlight w:val="none"/>
        </w:rPr>
        <w:t>违法违规</w:t>
      </w:r>
      <w:r>
        <w:rPr>
          <w:rFonts w:hint="eastAsia" w:ascii="仿宋_GB2312" w:hAnsi="仿宋_GB2312" w:eastAsia="仿宋_GB2312"/>
          <w:color w:val="auto"/>
          <w:sz w:val="32"/>
          <w:szCs w:val="32"/>
          <w:highlight w:val="none"/>
          <w:lang w:eastAsia="zh-CN"/>
        </w:rPr>
        <w:t>骗取专项资金的</w:t>
      </w:r>
      <w:r>
        <w:rPr>
          <w:rFonts w:hint="eastAsia" w:ascii="仿宋_GB2312" w:hAnsi="仿宋_GB2312" w:eastAsia="仿宋_GB2312"/>
          <w:color w:val="auto"/>
          <w:sz w:val="32"/>
          <w:szCs w:val="32"/>
          <w:highlight w:val="none"/>
        </w:rPr>
        <w:t>行为</w:t>
      </w:r>
      <w:r>
        <w:rPr>
          <w:rFonts w:hint="eastAsia" w:ascii="仿宋_GB2312" w:hAnsi="仿宋_GB2312" w:eastAsia="仿宋_GB2312"/>
          <w:color w:val="auto"/>
          <w:sz w:val="32"/>
          <w:szCs w:val="32"/>
          <w:highlight w:val="none"/>
          <w:lang w:eastAsia="zh-CN"/>
        </w:rPr>
        <w:t>的处理办法和责任追究程序。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contextualSpacing/>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、主要依据</w:t>
      </w:r>
    </w:p>
    <w:p>
      <w:pPr>
        <w:adjustRightInd w:val="0"/>
        <w:spacing w:line="560" w:lineRule="exact"/>
        <w:ind w:firstLine="640"/>
        <w:contextualSpacing/>
        <w:rPr>
          <w:rFonts w:hint="eastAsia" w:ascii="仿宋_GB2312" w:eastAsia="仿宋_GB2312" w:cs="Times New Roman"/>
          <w:sz w:val="32"/>
          <w:szCs w:val="32"/>
          <w:lang w:eastAsia="zh-CN"/>
        </w:rPr>
      </w:pPr>
      <w:r>
        <w:rPr>
          <w:rFonts w:hint="eastAsia" w:ascii="仿宋_GB2312" w:eastAsia="仿宋_GB2312" w:cs="Times New Roman"/>
          <w:sz w:val="32"/>
          <w:szCs w:val="32"/>
        </w:rPr>
        <w:t>1.《深圳市文化事业建设费及宣传文化事业发展专项资金使用管理办法》</w:t>
      </w:r>
      <w:r>
        <w:rPr>
          <w:rFonts w:hint="eastAsia" w:ascii="仿宋_GB2312" w:eastAsia="仿宋_GB2312" w:cs="Times New Roman"/>
          <w:sz w:val="32"/>
          <w:szCs w:val="32"/>
          <w:lang w:eastAsia="zh-CN"/>
        </w:rPr>
        <w:t>；</w:t>
      </w:r>
    </w:p>
    <w:p>
      <w:pPr>
        <w:adjustRightInd w:val="0"/>
        <w:spacing w:line="560" w:lineRule="exact"/>
        <w:ind w:firstLine="640"/>
        <w:contextualSpacing/>
        <w:rPr>
          <w:rFonts w:ascii="仿宋_GB2312" w:hAnsi="仿宋_GB2312" w:eastAsia="仿宋_GB2312" w:cs="仿宋_GB2312"/>
          <w:bCs/>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w:t>
      </w:r>
      <w:r>
        <w:rPr>
          <w:rFonts w:hint="eastAsia" w:ascii="仿宋_GB2312" w:hAnsi="仿宋_GB2312" w:eastAsia="仿宋_GB2312" w:cs="仿宋_GB2312"/>
          <w:bCs/>
          <w:sz w:val="32"/>
          <w:szCs w:val="32"/>
        </w:rPr>
        <w:t>《深圳市高水平职业体育俱乐部资助奖励操作规程》；</w:t>
      </w:r>
    </w:p>
    <w:p>
      <w:pPr>
        <w:adjustRightInd w:val="0"/>
        <w:spacing w:line="560" w:lineRule="exact"/>
        <w:ind w:firstLine="6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.《深圳市高端体育赛事资助操作规程》；</w:t>
      </w:r>
    </w:p>
    <w:p>
      <w:pPr>
        <w:adjustRightInd w:val="0"/>
        <w:spacing w:line="560" w:lineRule="exact"/>
        <w:ind w:firstLine="640"/>
        <w:contextualSpacing/>
        <w:rPr>
          <w:rFonts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.《福田区宣传文化体育事业发展专项资金管理暂行办法》；</w:t>
      </w:r>
    </w:p>
    <w:p>
      <w:pPr>
        <w:adjustRightInd w:val="0"/>
        <w:spacing w:line="560" w:lineRule="exact"/>
        <w:ind w:firstLine="640"/>
        <w:contextualSpacing/>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.《坪山区宣传文化体育事业发展专项资金管理办法》</w:t>
      </w:r>
    </w:p>
    <w:p>
      <w:pPr>
        <w:adjustRightInd w:val="0"/>
        <w:spacing w:line="560" w:lineRule="exact"/>
        <w:ind w:firstLine="640"/>
        <w:contextualSpacing/>
        <w:rPr>
          <w:rFonts w:hint="eastAsia" w:ascii="仿宋_GB2312" w:eastAsia="仿宋_GB2312" w:cs="Times New Roman"/>
          <w:sz w:val="32"/>
          <w:szCs w:val="32"/>
          <w:lang w:eastAsia="zh-CN"/>
        </w:rPr>
      </w:pPr>
      <w:r>
        <w:rPr>
          <w:rFonts w:hint="eastAsia" w:ascii="仿宋_GB2312" w:eastAsia="仿宋_GB2312" w:cs="Times New Roman"/>
          <w:sz w:val="32"/>
          <w:szCs w:val="32"/>
          <w:lang w:val="en-US" w:eastAsia="zh-CN"/>
        </w:rPr>
        <w:t>6.《深圳市龙岗区经济与科技发展专项资金支持旅游产业、体育产业实施细则》。</w:t>
      </w:r>
    </w:p>
    <w:p>
      <w:pPr>
        <w:spacing w:line="560" w:lineRule="exact"/>
        <w:ind w:firstLine="640" w:firstLineChars="200"/>
        <w:contextualSpacing/>
        <w:rPr>
          <w:rFonts w:hint="default" w:ascii="仿宋_GB2312" w:hAnsi="仿宋_GB2312" w:cs="仿宋_GB2312"/>
          <w:color w:val="auto"/>
          <w:sz w:val="32"/>
          <w:szCs w:val="32"/>
          <w:highlight w:val="none"/>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IDFont + F3">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roman"/>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30AC0"/>
    <w:multiLevelType w:val="singleLevel"/>
    <w:tmpl w:val="A5230A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11605"/>
    <w:rsid w:val="025B68FE"/>
    <w:rsid w:val="036F09B2"/>
    <w:rsid w:val="04763C2C"/>
    <w:rsid w:val="06E57941"/>
    <w:rsid w:val="07B81BDA"/>
    <w:rsid w:val="09AA2E60"/>
    <w:rsid w:val="09B85535"/>
    <w:rsid w:val="0BD218D0"/>
    <w:rsid w:val="0E6E2CF4"/>
    <w:rsid w:val="0F2A53B8"/>
    <w:rsid w:val="1342766F"/>
    <w:rsid w:val="15C97664"/>
    <w:rsid w:val="1DF413F9"/>
    <w:rsid w:val="1F7F1D29"/>
    <w:rsid w:val="20CE6AAD"/>
    <w:rsid w:val="210F24BC"/>
    <w:rsid w:val="26C71C59"/>
    <w:rsid w:val="2A3D2BFF"/>
    <w:rsid w:val="2EFC4253"/>
    <w:rsid w:val="33D4321E"/>
    <w:rsid w:val="342A1E47"/>
    <w:rsid w:val="38DF4AA4"/>
    <w:rsid w:val="398B7431"/>
    <w:rsid w:val="3DDA3A0C"/>
    <w:rsid w:val="3F23163E"/>
    <w:rsid w:val="465A13F2"/>
    <w:rsid w:val="47041B55"/>
    <w:rsid w:val="470B58CD"/>
    <w:rsid w:val="48757904"/>
    <w:rsid w:val="4C366B5F"/>
    <w:rsid w:val="4D081A36"/>
    <w:rsid w:val="4D7031B0"/>
    <w:rsid w:val="4ECB7B98"/>
    <w:rsid w:val="4F3A3EC6"/>
    <w:rsid w:val="5397325F"/>
    <w:rsid w:val="540C39CF"/>
    <w:rsid w:val="543F381A"/>
    <w:rsid w:val="5B343257"/>
    <w:rsid w:val="5C2F685C"/>
    <w:rsid w:val="62E80292"/>
    <w:rsid w:val="67A942DB"/>
    <w:rsid w:val="6AAC233E"/>
    <w:rsid w:val="6AF4432A"/>
    <w:rsid w:val="6E027C99"/>
    <w:rsid w:val="782D763D"/>
    <w:rsid w:val="7A75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880" w:firstLineChars="200"/>
    </w:pPr>
    <w:rPr>
      <w:rFonts w:eastAsia="仿宋_GB2312" w:asciiTheme="minorAscii" w:hAnsiTheme="minorAscii" w:cstheme="minorBidi"/>
      <w:sz w:val="32"/>
      <w:szCs w:val="22"/>
    </w:rPr>
  </w:style>
  <w:style w:type="paragraph" w:styleId="3">
    <w:name w:val="Body Text"/>
    <w:basedOn w:val="1"/>
    <w:next w:val="1"/>
    <w:qFormat/>
    <w:uiPriority w:val="0"/>
    <w:pPr>
      <w:spacing w:line="560" w:lineRule="exact"/>
      <w:ind w:firstLine="880" w:firstLineChars="200"/>
    </w:pPr>
    <w:rPr>
      <w:rFonts w:asciiTheme="minorAscii" w:hAnsiTheme="minorAscii" w:cstheme="minorBidi"/>
    </w:rPr>
  </w:style>
  <w:style w:type="paragraph" w:styleId="5">
    <w:name w:val="Normal Indent"/>
    <w:basedOn w:val="1"/>
    <w:qFormat/>
    <w:uiPriority w:val="0"/>
    <w:pPr>
      <w:ind w:firstLine="420"/>
    </w:pPr>
    <w:rPr>
      <w:szCs w:val="20"/>
    </w:rPr>
  </w:style>
  <w:style w:type="paragraph" w:styleId="6">
    <w:name w:val="footer"/>
    <w:basedOn w:val="1"/>
    <w:unhideWhenUsed/>
    <w:qFormat/>
    <w:uiPriority w:val="99"/>
    <w:pPr>
      <w:tabs>
        <w:tab w:val="center" w:pos="4153"/>
        <w:tab w:val="right" w:pos="8306"/>
      </w:tabs>
      <w:snapToGrid w:val="0"/>
      <w:jc w:val="left"/>
    </w:pPr>
    <w:rPr>
      <w:rFonts w:ascii="Calibri" w:hAnsi="Calibri" w:eastAsia="宋体" w:cs="Times New Roman"/>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fontstyle01"/>
    <w:basedOn w:val="10"/>
    <w:qFormat/>
    <w:uiPriority w:val="0"/>
    <w:rPr>
      <w:rFonts w:ascii="CIDFont + F3" w:hAnsi="CIDFont + F3" w:eastAsia="CIDFont + F3" w:cs="CIDFont + F3"/>
      <w:color w:val="000000"/>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钟玉婷</cp:lastModifiedBy>
  <cp:lastPrinted>2021-08-10T07:17:00Z</cp:lastPrinted>
  <dcterms:modified xsi:type="dcterms:W3CDTF">2021-08-16T03:15:58Z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3F062B42236E48979B88A7DFC96C138C</vt:lpwstr>
  </property>
</Properties>
</file>