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-768985</wp:posOffset>
                </wp:positionH>
                <wp:positionV relativeFrom="paragraph">
                  <wp:posOffset>-769620</wp:posOffset>
                </wp:positionV>
                <wp:extent cx="1043305" cy="67119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4015" y="144780"/>
                          <a:ext cx="1043305" cy="671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0.55pt;margin-top:-60.6pt;height:52.85pt;width:82.15pt;z-index:251659264;mso-width-relative:page;mso-height-relative:page;" filled="f" stroked="f" coordsize="21600,21600" o:gfxdata="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ZFZZnaAAAADAEAAA8AAAAAAAAAAQAgAAAAIgAAAGRycy9kb3ducmV2LnhtbFBLAQIUABQA&#10;AAAIAIdO4kA5NCjnJwIAACIEAAAOAAAAAAAAAAEAIAAAACk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罗湖区新型研发机构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认定与管理操作规程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征求意见稿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第一章 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为落实《深圳市罗湖区产业转型升级专项资金管理办法》、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《深圳市罗湖区产业转型升级专项资金推动企业高质量发展实施细则》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结合罗湖区提升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基础创新能力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的要求和实际情况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制定本操作规程。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本操作规程所指的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新型研发机构，是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指聚焦科技创新需求，主要从事科学研究、技术创新和研发服务，投资主体多元化、管理制度现代化、运行机制市场化、用人机制灵活的独立法人机构，可依法注册为科技类民办非企业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、事业单位和企业。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深圳市罗湖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科技创新局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罗湖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区新型研发机构的业务主管部门，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组织开展新型研发机构的遴选、评审、引进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培育、考核评价工作以及落实政府资助资金使用过程监督职责。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第二章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认定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第四条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申报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罗湖区新型研发机构须同时具备以下基本条件：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（一）在罗湖区注册，具有独立法人资格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的企业、事业单位或民办非企业单位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原则上运营6个月以上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（二）注册类型为企业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或民办非企业单位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的，其牵头发起人为高等院校、科研机构、具备市级以上荣誉资质的高层次人才、上年度主营收入不低于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000万元的国家高新技术企业或罗湖区战略性新兴产业库企业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注册类型为事业单位的，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不受牵头发起人的限制。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（三）拥有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较优秀的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研发队伍，中级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职称或硕士以上学历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职研发人员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人以上，人数占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在职员工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总数的比例不低于20%。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（四）具有一定的资产规模和相对稳定的资金来源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年度研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究开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发经费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年收入总额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比例不低于20%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成立时间不超过1年的，自成立至申报日累计研发经费支出不低于100万元人民币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，具备进行研究、开发和试验所需科研仪器、设备和固定场地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第三章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认定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程序</w:t>
      </w:r>
    </w:p>
    <w:p>
      <w:pPr>
        <w:spacing w:line="600" w:lineRule="exact"/>
        <w:ind w:firstLine="645"/>
        <w:rPr>
          <w:rFonts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申报罗湖区新型研发机构认定需提交以下</w:t>
      </w:r>
      <w:r>
        <w:rPr>
          <w:rFonts w:hint="eastAsia" w:ascii="仿宋_GB2312" w:eastAsia="仿宋_GB2312"/>
          <w:b w:val="0"/>
          <w:bCs/>
          <w:sz w:val="32"/>
          <w:szCs w:val="32"/>
        </w:rPr>
        <w:t>材料：</w:t>
      </w:r>
    </w:p>
    <w:p>
      <w:pPr>
        <w:spacing w:line="600" w:lineRule="exact"/>
        <w:ind w:firstLine="645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sz w:val="32"/>
          <w:szCs w:val="32"/>
          <w:lang w:eastAsia="zh-CN"/>
        </w:rPr>
        <w:t>）《罗湖区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新型研发机构</w:t>
      </w:r>
      <w:r>
        <w:rPr>
          <w:rFonts w:hint="eastAsia" w:ascii="仿宋_GB2312" w:eastAsia="仿宋_GB2312"/>
          <w:sz w:val="32"/>
          <w:szCs w:val="32"/>
          <w:lang w:eastAsia="zh-CN"/>
        </w:rPr>
        <w:t>认定申请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书》；</w:t>
      </w: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申报单位</w:t>
      </w:r>
      <w:r>
        <w:rPr>
          <w:rFonts w:hint="eastAsia" w:ascii="仿宋_GB2312" w:eastAsia="仿宋_GB2312"/>
          <w:sz w:val="32"/>
          <w:szCs w:val="32"/>
        </w:rPr>
        <w:t>统一社会信用代码证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；</w:t>
      </w: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单位法人身份证复印件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；</w:t>
      </w:r>
    </w:p>
    <w:p>
      <w:pPr>
        <w:spacing w:line="600" w:lineRule="exact"/>
        <w:ind w:firstLine="645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中、高级职称或硕士以上学历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职研发人员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学历（职称）证书、社保证明；</w:t>
      </w:r>
    </w:p>
    <w:p>
      <w:pPr>
        <w:spacing w:line="600" w:lineRule="exact"/>
        <w:ind w:firstLine="645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经具有资质的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会计师事务所出具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上</w:t>
      </w:r>
      <w:r>
        <w:rPr>
          <w:rFonts w:hint="eastAsia" w:ascii="仿宋_GB2312" w:eastAsia="仿宋_GB2312"/>
          <w:sz w:val="32"/>
          <w:szCs w:val="32"/>
        </w:rPr>
        <w:t>年度研究开发经费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年收入总额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专项审计报告（成立时间不超过1年的，出具自成立至申报日累计研发经费专项审计报告）；</w:t>
      </w:r>
    </w:p>
    <w:p>
      <w:pPr>
        <w:pStyle w:val="2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645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上年度财务报表（资产负债表、损益表、现金流量）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成立时间不足一年的，提供成立至申报日各月份财务报表；</w:t>
      </w: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七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新型研发机构建设报告（包括但不限于：基础研究方向、研究内容、科研管理制度、组织架构、机构章程、团队介绍、用人机制、薪酬制度、科研条件等内容）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；</w:t>
      </w:r>
    </w:p>
    <w:p>
      <w:pPr>
        <w:spacing w:line="600" w:lineRule="exact"/>
        <w:ind w:firstLine="645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八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其他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证明</w:t>
      </w:r>
      <w:r>
        <w:rPr>
          <w:rFonts w:hint="eastAsia" w:ascii="仿宋_GB2312" w:eastAsia="仿宋_GB2312"/>
          <w:sz w:val="32"/>
          <w:szCs w:val="32"/>
        </w:rPr>
        <w:t>材料</w:t>
      </w:r>
      <w:r>
        <w:rPr>
          <w:rFonts w:hint="eastAsia" w:ascii="仿宋_GB2312" w:eastAsia="仿宋_GB2312"/>
          <w:sz w:val="32"/>
          <w:szCs w:val="32"/>
          <w:lang w:eastAsia="zh-CN"/>
        </w:rPr>
        <w:t>。（申报单位知识产权、发表的论文等科研成果证明；若申报单位注册类型是企业且牵头发起人也是企业的，提供牵头发起人上年度主营收入超过3000万元的相关证明、国家高新技术企业证书或罗湖区战略性新兴产业库企业证明；若申报单位注册类型是企业且牵头发起人是市级以上高层次人才的，提供市级以上高层次人才证明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认定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程序</w:t>
      </w:r>
    </w:p>
    <w:p>
      <w:pPr>
        <w:spacing w:line="600" w:lineRule="exact"/>
        <w:ind w:firstLine="645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（一）申报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受理</w:t>
      </w:r>
      <w:r>
        <w:rPr>
          <w:rFonts w:hint="eastAsia" w:ascii="仿宋_GB2312" w:hAnsi="黑体" w:eastAsia="仿宋_GB2312"/>
          <w:sz w:val="32"/>
          <w:szCs w:val="32"/>
        </w:rPr>
        <w:t>。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深圳市罗湖</w:t>
      </w:r>
      <w:r>
        <w:rPr>
          <w:rFonts w:hint="eastAsia" w:ascii="仿宋_GB2312" w:hAnsi="黑体" w:eastAsia="仿宋_GB2312"/>
          <w:sz w:val="32"/>
          <w:szCs w:val="32"/>
        </w:rPr>
        <w:t>区科技创新局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受理</w:t>
      </w:r>
      <w:r>
        <w:rPr>
          <w:rFonts w:hint="eastAsia" w:ascii="仿宋_GB2312" w:hAnsi="黑体" w:eastAsia="仿宋_GB2312"/>
          <w:sz w:val="32"/>
          <w:szCs w:val="32"/>
        </w:rPr>
        <w:t>申报主体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黑体" w:eastAsia="仿宋_GB2312"/>
          <w:sz w:val="32"/>
          <w:szCs w:val="32"/>
        </w:rPr>
        <w:t>申请材料。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（二）初审。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深圳市罗湖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科技创新局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对申报材料进行初审，重点审查材料的完整性和准确性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（三）现场考察。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深圳市罗湖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科技创新局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对申报单位进行实地考察，核实相关申报信息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（四）评审论证。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深圳市罗湖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科技创新局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组织专家评审，形成初步认定意见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（五）集体决策。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深圳市罗湖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科技创新局领导班子会议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对初步认定意见进行研究讨论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形成拟认定的罗湖区新型研发机构名单。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公示。深圳市罗湖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科技创新局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认定的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罗湖区新型研发机构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网上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公示，公示期为5个工作日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）下达认定。公示期满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无异议或经审查异议不成立的，由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深圳市罗湖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科技创新局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下达认定通知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章 监督管理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申报主体应当如实填写申请材料，对于弄虚作假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骗取认定的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，一经查实，3年内不受理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其认定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对据此获得政府扶持资金的，参照《深圳市罗湖区产业转型升级专项资金管理办法》第二十八条有关规定处理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条</w:t>
      </w:r>
      <w:r>
        <w:rPr>
          <w:rFonts w:hint="eastAsia" w:ascii="黑体" w:hAnsi="黑体" w:eastAsia="黑体"/>
          <w:b/>
          <w:color w:val="FF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罗湖区新型研发机构从下达认定通知之日起有效期3年，</w:t>
      </w:r>
      <w:r>
        <w:rPr>
          <w:rFonts w:hint="eastAsia" w:ascii="仿宋_GB2312" w:hAnsi="仿宋_GB2312" w:eastAsia="仿宋_GB2312" w:cs="仿宋_GB2312"/>
          <w:sz w:val="32"/>
          <w:szCs w:val="32"/>
        </w:rPr>
        <w:t>有效期满后需重新申报认定。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新型研发机构应在每年3月份前向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深圳市罗湖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科技创新局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提交上一年度工作总结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罗湖区新型研发机构管理统计表》。汇报新型研发机构的建设进展情况、主要数据指标及下年度建设计划等。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新型研发机构应遵守本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规程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，配合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深圳市罗湖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科技创新局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做好管理和监督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，按要求参加科技统计，如实填报R&amp;D经费支出情况。对未参加科技统计的新型研发机构，取消其新型研发机构资格。获得新型研发机构区相关扶持资金的项目，应按照区有关经费管理规定使用扶持资金。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章 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规程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深圳市罗湖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科技创新局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负责解释。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规程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自发布之日起施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，有效期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年。</w:t>
      </w:r>
    </w:p>
    <w:p>
      <w:pPr>
        <w:pStyle w:val="2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10EBF"/>
    <w:rsid w:val="004A76F3"/>
    <w:rsid w:val="03D23377"/>
    <w:rsid w:val="03DC09FA"/>
    <w:rsid w:val="0460329C"/>
    <w:rsid w:val="04616437"/>
    <w:rsid w:val="05215260"/>
    <w:rsid w:val="061268C7"/>
    <w:rsid w:val="09BE2355"/>
    <w:rsid w:val="0C44100A"/>
    <w:rsid w:val="0D4669D6"/>
    <w:rsid w:val="0DEF6A18"/>
    <w:rsid w:val="0F5E4487"/>
    <w:rsid w:val="0FAF1684"/>
    <w:rsid w:val="15E176F9"/>
    <w:rsid w:val="164407E5"/>
    <w:rsid w:val="16747F01"/>
    <w:rsid w:val="16FA3582"/>
    <w:rsid w:val="17A73C3D"/>
    <w:rsid w:val="197C3C87"/>
    <w:rsid w:val="1C696398"/>
    <w:rsid w:val="1D1B5775"/>
    <w:rsid w:val="20B42823"/>
    <w:rsid w:val="2140292F"/>
    <w:rsid w:val="22B36C8E"/>
    <w:rsid w:val="255E04F1"/>
    <w:rsid w:val="26827B21"/>
    <w:rsid w:val="269F36CA"/>
    <w:rsid w:val="27C174C9"/>
    <w:rsid w:val="29750443"/>
    <w:rsid w:val="2B265FB0"/>
    <w:rsid w:val="2CA9163E"/>
    <w:rsid w:val="32EE7CC7"/>
    <w:rsid w:val="3475441E"/>
    <w:rsid w:val="352F5CF4"/>
    <w:rsid w:val="39DE2FD8"/>
    <w:rsid w:val="3A251DF7"/>
    <w:rsid w:val="3AF7441A"/>
    <w:rsid w:val="3B3418D0"/>
    <w:rsid w:val="3BA5153C"/>
    <w:rsid w:val="3BB94C41"/>
    <w:rsid w:val="3CA10E69"/>
    <w:rsid w:val="3CE04F38"/>
    <w:rsid w:val="3DD7731F"/>
    <w:rsid w:val="3F59655D"/>
    <w:rsid w:val="3F906B92"/>
    <w:rsid w:val="3FC20172"/>
    <w:rsid w:val="3FDE74DC"/>
    <w:rsid w:val="40046BAD"/>
    <w:rsid w:val="41D93F71"/>
    <w:rsid w:val="42B76012"/>
    <w:rsid w:val="43C202CA"/>
    <w:rsid w:val="43DE03CA"/>
    <w:rsid w:val="44456401"/>
    <w:rsid w:val="454948B2"/>
    <w:rsid w:val="45D76916"/>
    <w:rsid w:val="46B3197C"/>
    <w:rsid w:val="477E6FE9"/>
    <w:rsid w:val="478A5AC7"/>
    <w:rsid w:val="47990B04"/>
    <w:rsid w:val="4A0A266E"/>
    <w:rsid w:val="4BC85028"/>
    <w:rsid w:val="4C1804BA"/>
    <w:rsid w:val="4D9C59E9"/>
    <w:rsid w:val="4F3546DA"/>
    <w:rsid w:val="4FED640F"/>
    <w:rsid w:val="51694A7A"/>
    <w:rsid w:val="53E1753B"/>
    <w:rsid w:val="551D446C"/>
    <w:rsid w:val="554A73EE"/>
    <w:rsid w:val="557044AD"/>
    <w:rsid w:val="568D6B8C"/>
    <w:rsid w:val="57710CFB"/>
    <w:rsid w:val="57E3679A"/>
    <w:rsid w:val="5808562B"/>
    <w:rsid w:val="58415C2D"/>
    <w:rsid w:val="597D5C6C"/>
    <w:rsid w:val="5A676326"/>
    <w:rsid w:val="5C8F1AA0"/>
    <w:rsid w:val="5CC749F4"/>
    <w:rsid w:val="5D312AA9"/>
    <w:rsid w:val="5DA95D1A"/>
    <w:rsid w:val="5E995034"/>
    <w:rsid w:val="5F1036B2"/>
    <w:rsid w:val="5F977B51"/>
    <w:rsid w:val="5FCF11B6"/>
    <w:rsid w:val="61B46540"/>
    <w:rsid w:val="62793ED1"/>
    <w:rsid w:val="63983AB8"/>
    <w:rsid w:val="65711E10"/>
    <w:rsid w:val="65D17F47"/>
    <w:rsid w:val="6670535F"/>
    <w:rsid w:val="66910EBF"/>
    <w:rsid w:val="67550DE4"/>
    <w:rsid w:val="679A0585"/>
    <w:rsid w:val="6A961A8B"/>
    <w:rsid w:val="6BAF1099"/>
    <w:rsid w:val="6D5A66A5"/>
    <w:rsid w:val="6DB23738"/>
    <w:rsid w:val="6DD04234"/>
    <w:rsid w:val="706B7D18"/>
    <w:rsid w:val="70EB72AC"/>
    <w:rsid w:val="710A505B"/>
    <w:rsid w:val="71A732E7"/>
    <w:rsid w:val="7403344D"/>
    <w:rsid w:val="74365716"/>
    <w:rsid w:val="744E08C4"/>
    <w:rsid w:val="7546350F"/>
    <w:rsid w:val="75EA4D74"/>
    <w:rsid w:val="79270C2F"/>
    <w:rsid w:val="79B87FB2"/>
    <w:rsid w:val="7AB022CB"/>
    <w:rsid w:val="7CA67C00"/>
    <w:rsid w:val="7D9774AC"/>
    <w:rsid w:val="7E9C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2021-03-26T04:09:00Z</dcterms:created>
  <dc:creator>LZJ</dc:creator>
  <cp:lastModifiedBy>千里</cp:lastModifiedBy>
  <dcterms:modified xsi:type="dcterms:W3CDTF">2021-05-28T03:55:41Z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E44C5E960431430EBF5665FB1C23E332</vt:lpwstr>
  </property>
</Properties>
</file>