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20"/>
        </w:rPr>
      </w:pPr>
    </w:p>
    <w:p>
      <w:pPr>
        <w:spacing w:line="1304" w:lineRule="exact" w:before="0"/>
        <w:ind w:left="130" w:right="0" w:firstLine="0"/>
        <w:jc w:val="left"/>
        <w:rPr>
          <w:rFonts w:ascii="Droid Sans Fallback" w:eastAsia="Droid Sans Fallback" w:hint="eastAsia"/>
          <w:sz w:val="84"/>
        </w:rPr>
      </w:pPr>
      <w:r>
        <w:rPr>
          <w:rFonts w:ascii="Droid Sans Fallback" w:eastAsia="Droid Sans Fallback" w:hint="eastAsia"/>
          <w:color w:val="FF0000"/>
          <w:w w:val="65"/>
          <w:sz w:val="84"/>
        </w:rPr>
        <w:t>深圳市龙岗区人才工作领导小组文件</w:t>
      </w:r>
    </w:p>
    <w:p>
      <w:pPr>
        <w:pStyle w:val="BodyText"/>
        <w:spacing w:before="647" w:after="66"/>
        <w:ind w:left="2808"/>
      </w:pPr>
      <w:r>
        <w:rPr/>
        <w:t>深龙人才通〔2016〕9 号</w:t>
      </w:r>
    </w:p>
    <w:p>
      <w:pPr>
        <w:pStyle w:val="BodyText"/>
        <w:spacing w:line="36" w:lineRule="exact"/>
        <w:ind w:left="-90"/>
        <w:rPr>
          <w:sz w:val="3"/>
        </w:rPr>
      </w:pPr>
      <w:r>
        <w:rPr>
          <w:position w:val="0"/>
          <w:sz w:val="3"/>
        </w:rPr>
        <w:pict>
          <v:group style="width:459pt;height:1.8pt;mso-position-horizontal-relative:char;mso-position-vertical-relative:line" coordorigin="0,0" coordsize="9180,36">
            <v:line style="position:absolute" from="0,18" to="9180,18" stroked="true" strokeweight="1.8pt" strokecolor="#ff0000">
              <v:stroke dashstyle="solid"/>
            </v:line>
          </v:group>
        </w:pict>
      </w:r>
      <w:r>
        <w:rPr>
          <w:position w:val="0"/>
          <w:sz w:val="3"/>
        </w:rPr>
      </w:r>
    </w:p>
    <w:p>
      <w:pPr>
        <w:pStyle w:val="BodyText"/>
        <w:spacing w:before="14"/>
        <w:ind w:left="0"/>
        <w:rPr>
          <w:sz w:val="26"/>
        </w:rPr>
      </w:pPr>
    </w:p>
    <w:p>
      <w:pPr>
        <w:pStyle w:val="Heading1"/>
        <w:spacing w:line="165" w:lineRule="auto"/>
      </w:pPr>
      <w:r>
        <w:rPr>
          <w:w w:val="95"/>
        </w:rPr>
        <w:t>关于印发《深圳市龙岗区深龙文化创意产业</w:t>
      </w:r>
      <w:r>
        <w:rPr/>
        <w:t>英才计划实施办法》的通知</w:t>
      </w:r>
    </w:p>
    <w:p>
      <w:pPr>
        <w:pStyle w:val="BodyText"/>
        <w:spacing w:before="7"/>
        <w:ind w:left="0"/>
        <w:rPr>
          <w:rFonts w:ascii="Droid Sans Fallback"/>
          <w:sz w:val="26"/>
        </w:rPr>
      </w:pPr>
    </w:p>
    <w:p>
      <w:pPr>
        <w:pStyle w:val="BodyText"/>
        <w:spacing w:line="619" w:lineRule="exact" w:before="1"/>
      </w:pPr>
      <w:r>
        <w:rPr/>
        <w:t>区人才工作领导小组各成员单位：</w:t>
      </w:r>
    </w:p>
    <w:p>
      <w:pPr>
        <w:pStyle w:val="BodyText"/>
        <w:spacing w:line="199" w:lineRule="auto" w:before="21"/>
        <w:ind w:right="367" w:firstLine="580"/>
      </w:pPr>
      <w:r>
        <w:rPr/>
        <w:t>《深圳市龙岗区深龙文化创意产业英才计划实施办法》业经区委、区政府同意，现予印发，请认真贯彻执行。</w:t>
      </w:r>
    </w:p>
    <w:p>
      <w:pPr>
        <w:pStyle w:val="BodyText"/>
        <w:ind w:left="0"/>
      </w:pPr>
    </w:p>
    <w:p>
      <w:pPr>
        <w:pStyle w:val="BodyText"/>
        <w:spacing w:before="17"/>
        <w:ind w:left="0"/>
        <w:rPr>
          <w:sz w:val="16"/>
        </w:rPr>
      </w:pPr>
    </w:p>
    <w:p>
      <w:pPr>
        <w:pStyle w:val="BodyText"/>
        <w:spacing w:line="619" w:lineRule="exact"/>
        <w:ind w:left="3403" w:right="327"/>
        <w:jc w:val="center"/>
      </w:pPr>
      <w:r>
        <w:rPr/>
        <w:t>深圳市龙岗区人才工作领导小组办公室</w:t>
      </w:r>
    </w:p>
    <w:p>
      <w:pPr>
        <w:pStyle w:val="BodyText"/>
        <w:spacing w:line="619" w:lineRule="exact"/>
        <w:ind w:left="3493" w:right="425"/>
        <w:jc w:val="center"/>
      </w:pPr>
      <w:r>
        <w:rPr/>
        <w:t>2016</w:t>
      </w:r>
      <w:r>
        <w:rPr>
          <w:spacing w:val="-55"/>
        </w:rPr>
        <w:t> 年 </w:t>
      </w:r>
      <w:r>
        <w:rPr/>
        <w:t>10</w:t>
      </w:r>
      <w:r>
        <w:rPr>
          <w:spacing w:val="-53"/>
        </w:rPr>
        <w:t> 月 </w:t>
      </w:r>
      <w:r>
        <w:rPr/>
        <w:t>31</w:t>
      </w:r>
      <w:r>
        <w:rPr>
          <w:spacing w:val="-41"/>
        </w:rPr>
        <w:t> 日</w:t>
      </w:r>
    </w:p>
    <w:p>
      <w:pPr>
        <w:spacing w:after="0" w:line="619" w:lineRule="exact"/>
        <w:jc w:val="center"/>
        <w:sectPr>
          <w:footerReference w:type="default" r:id="rId5"/>
          <w:type w:val="continuous"/>
          <w:pgSz w:w="11910" w:h="16840"/>
          <w:pgMar w:footer="975" w:top="1580" w:bottom="1160" w:left="1480" w:right="1040"/>
          <w:pgNumType w:start="1"/>
        </w:sectPr>
      </w:pPr>
    </w:p>
    <w:p>
      <w:pPr>
        <w:pStyle w:val="BodyText"/>
        <w:spacing w:before="18"/>
        <w:ind w:left="0"/>
        <w:rPr>
          <w:sz w:val="29"/>
        </w:rPr>
      </w:pPr>
    </w:p>
    <w:p>
      <w:pPr>
        <w:pStyle w:val="Heading1"/>
        <w:spacing w:line="165" w:lineRule="auto" w:before="80"/>
        <w:ind w:left="569" w:right="894"/>
      </w:pPr>
      <w:bookmarkStart w:name="深圳市龙岗区深龙文化创意产业英才计划" w:id="1"/>
      <w:bookmarkEnd w:id="1"/>
      <w:r>
        <w:rPr/>
      </w:r>
      <w:r>
        <w:rPr>
          <w:w w:val="95"/>
        </w:rPr>
        <w:t>深圳市龙岗区深龙文化创意产业英才计划</w:t>
      </w:r>
      <w:r>
        <w:rPr/>
        <w:t>实施办法</w:t>
      </w:r>
    </w:p>
    <w:p>
      <w:pPr>
        <w:pStyle w:val="BodyText"/>
        <w:spacing w:before="10"/>
        <w:ind w:left="0"/>
        <w:rPr>
          <w:rFonts w:ascii="Droid Sans Fallback"/>
          <w:sz w:val="29"/>
        </w:rPr>
      </w:pPr>
    </w:p>
    <w:p>
      <w:pPr>
        <w:pStyle w:val="BodyText"/>
        <w:tabs>
          <w:tab w:pos="1240" w:val="left" w:leader="none"/>
        </w:tabs>
        <w:ind w:left="0" w:right="327"/>
        <w:jc w:val="center"/>
        <w:rPr>
          <w:rFonts w:ascii="Droid Sans Fallback" w:eastAsia="Droid Sans Fallback" w:hint="eastAsia"/>
        </w:rPr>
      </w:pPr>
      <w:r>
        <w:rPr>
          <w:rFonts w:ascii="Droid Sans Fallback" w:eastAsia="Droid Sans Fallback" w:hint="eastAsia"/>
        </w:rPr>
        <w:t>第一章</w:t>
        <w:tab/>
        <w:t>总则</w:t>
      </w:r>
    </w:p>
    <w:p>
      <w:pPr>
        <w:pStyle w:val="BodyText"/>
        <w:spacing w:before="3"/>
        <w:ind w:left="0"/>
        <w:rPr>
          <w:rFonts w:ascii="Droid Sans Fallback"/>
          <w:sz w:val="30"/>
        </w:rPr>
      </w:pPr>
    </w:p>
    <w:p>
      <w:pPr>
        <w:pStyle w:val="BodyText"/>
        <w:tabs>
          <w:tab w:pos="2028" w:val="left" w:leader="none"/>
        </w:tabs>
        <w:spacing w:line="199" w:lineRule="auto"/>
        <w:ind w:right="114" w:firstLine="638"/>
      </w:pPr>
      <w:r>
        <w:rPr>
          <w:rFonts w:ascii="Droid Sans Fallback" w:hAnsi="Droid Sans Fallback" w:eastAsia="Droid Sans Fallback" w:hint="eastAsia"/>
          <w:w w:val="105"/>
        </w:rPr>
        <w:t>第一条</w:t>
        <w:tab/>
      </w:r>
      <w:r>
        <w:rPr>
          <w:w w:val="105"/>
        </w:rPr>
        <w:t>为深入实施龙岗</w:t>
      </w:r>
      <w:r>
        <w:rPr>
          <w:spacing w:val="-39"/>
          <w:w w:val="105"/>
        </w:rPr>
        <w:t>区</w:t>
      </w:r>
      <w:r>
        <w:rPr>
          <w:w w:val="175"/>
        </w:rPr>
        <w:t>“</w:t>
      </w:r>
      <w:r>
        <w:rPr>
          <w:w w:val="105"/>
        </w:rPr>
        <w:t>文化强区</w:t>
      </w:r>
      <w:r>
        <w:rPr>
          <w:spacing w:val="-39"/>
          <w:w w:val="175"/>
        </w:rPr>
        <w:t>”</w:t>
      </w:r>
      <w:r>
        <w:rPr>
          <w:w w:val="105"/>
        </w:rPr>
        <w:t>战略</w:t>
      </w:r>
      <w:r>
        <w:rPr>
          <w:spacing w:val="-39"/>
          <w:w w:val="105"/>
        </w:rPr>
        <w:t>，</w:t>
      </w:r>
      <w:r>
        <w:rPr>
          <w:w w:val="105"/>
        </w:rPr>
        <w:t>吸引优秀文</w:t>
      </w:r>
      <w:r>
        <w:rPr>
          <w:w w:val="95"/>
        </w:rPr>
        <w:t>化创意产业人才集聚龙岗</w:t>
      </w:r>
      <w:r>
        <w:rPr>
          <w:spacing w:val="-115"/>
          <w:w w:val="95"/>
        </w:rPr>
        <w:t>，</w:t>
      </w:r>
      <w:r>
        <w:rPr>
          <w:w w:val="95"/>
        </w:rPr>
        <w:t>提升我区文化创意产业整体发展水平， </w:t>
      </w:r>
      <w:r>
        <w:rPr>
          <w:w w:val="105"/>
        </w:rPr>
        <w:t>根据《关于促进人才优先发展实施</w:t>
      </w:r>
      <w:r>
        <w:rPr>
          <w:w w:val="155"/>
        </w:rPr>
        <w:t>“</w:t>
      </w:r>
      <w:r>
        <w:rPr>
          <w:w w:val="105"/>
        </w:rPr>
        <w:t>深龙英才计划</w:t>
      </w:r>
      <w:r>
        <w:rPr>
          <w:w w:val="155"/>
        </w:rPr>
        <w:t>”</w:t>
      </w:r>
      <w:r>
        <w:rPr>
          <w:w w:val="105"/>
        </w:rPr>
        <w:t>的意见</w:t>
      </w:r>
      <w:r>
        <w:rPr>
          <w:spacing w:val="-159"/>
          <w:w w:val="105"/>
        </w:rPr>
        <w:t>》</w:t>
      </w:r>
      <w:r>
        <w:rPr>
          <w:w w:val="105"/>
        </w:rPr>
        <w:t>， 制定本办法。</w:t>
      </w:r>
    </w:p>
    <w:p>
      <w:pPr>
        <w:pStyle w:val="BodyText"/>
        <w:tabs>
          <w:tab w:pos="2067" w:val="left" w:leader="none"/>
        </w:tabs>
        <w:spacing w:line="528" w:lineRule="exact"/>
        <w:ind w:left="747"/>
      </w:pPr>
      <w:r>
        <w:rPr>
          <w:rFonts w:ascii="Droid Sans Fallback" w:eastAsia="Droid Sans Fallback" w:hint="eastAsia"/>
          <w:spacing w:val="9"/>
        </w:rPr>
        <w:t>第</w:t>
      </w:r>
      <w:r>
        <w:rPr>
          <w:rFonts w:ascii="Droid Sans Fallback" w:eastAsia="Droid Sans Fallback" w:hint="eastAsia"/>
          <w:spacing w:val="7"/>
        </w:rPr>
        <w:t>二</w:t>
      </w:r>
      <w:r>
        <w:rPr>
          <w:rFonts w:ascii="Droid Sans Fallback" w:eastAsia="Droid Sans Fallback" w:hint="eastAsia"/>
        </w:rPr>
        <w:t>条</w:t>
        <w:tab/>
      </w:r>
      <w:r>
        <w:rPr>
          <w:spacing w:val="9"/>
        </w:rPr>
        <w:t>根</w:t>
      </w:r>
      <w:r>
        <w:rPr>
          <w:spacing w:val="7"/>
        </w:rPr>
        <w:t>据</w:t>
      </w:r>
      <w:r>
        <w:rPr>
          <w:spacing w:val="9"/>
        </w:rPr>
        <w:t>我区文</w:t>
      </w:r>
      <w:r>
        <w:rPr>
          <w:spacing w:val="7"/>
        </w:rPr>
        <w:t>化</w:t>
      </w:r>
      <w:r>
        <w:rPr>
          <w:spacing w:val="9"/>
        </w:rPr>
        <w:t>创意产</w:t>
      </w:r>
      <w:r>
        <w:rPr>
          <w:spacing w:val="7"/>
        </w:rPr>
        <w:t>业</w:t>
      </w:r>
      <w:r>
        <w:rPr>
          <w:spacing w:val="9"/>
        </w:rPr>
        <w:t>发展的</w:t>
      </w:r>
      <w:r>
        <w:rPr>
          <w:spacing w:val="7"/>
        </w:rPr>
        <w:t>总</w:t>
      </w:r>
      <w:r>
        <w:rPr>
          <w:spacing w:val="9"/>
        </w:rPr>
        <w:t>体目</w:t>
      </w:r>
      <w:r>
        <w:rPr>
          <w:spacing w:val="7"/>
        </w:rPr>
        <w:t>标</w:t>
      </w:r>
      <w:r>
        <w:rPr>
          <w:spacing w:val="9"/>
        </w:rPr>
        <w:t>，力争</w:t>
      </w:r>
      <w:r>
        <w:rPr/>
        <w:t>到</w:t>
      </w:r>
    </w:p>
    <w:p>
      <w:pPr>
        <w:pStyle w:val="BodyText"/>
        <w:spacing w:line="196" w:lineRule="auto" w:before="26"/>
        <w:ind w:right="316" w:hanging="118"/>
        <w:jc w:val="center"/>
      </w:pPr>
      <w:r>
        <w:rPr/>
        <w:t>2020</w:t>
      </w:r>
      <w:r>
        <w:rPr>
          <w:spacing w:val="-15"/>
        </w:rPr>
        <w:t> 年底，在我区重点扶持的文化创意产业领域引进培养 </w:t>
      </w:r>
      <w:r>
        <w:rPr/>
        <w:t>10</w:t>
      </w:r>
      <w:r>
        <w:rPr>
          <w:spacing w:val="-43"/>
        </w:rPr>
        <w:t> 名领军人才，30</w:t>
      </w:r>
      <w:r>
        <w:rPr>
          <w:spacing w:val="-13"/>
        </w:rPr>
        <w:t> 名骨干人才、</w:t>
      </w:r>
      <w:r>
        <w:rPr/>
        <w:t>100</w:t>
      </w:r>
      <w:r>
        <w:rPr>
          <w:spacing w:val="-22"/>
        </w:rPr>
        <w:t> 名优秀人才和 </w:t>
      </w:r>
      <w:r>
        <w:rPr/>
        <w:t>200</w:t>
      </w:r>
      <w:r>
        <w:rPr>
          <w:spacing w:val="-13"/>
        </w:rPr>
        <w:t> 名后备人才。</w:t>
      </w:r>
    </w:p>
    <w:p>
      <w:pPr>
        <w:pStyle w:val="BodyText"/>
        <w:spacing w:before="7"/>
        <w:ind w:left="0"/>
        <w:rPr>
          <w:sz w:val="25"/>
        </w:rPr>
      </w:pPr>
    </w:p>
    <w:p>
      <w:pPr>
        <w:pStyle w:val="BodyText"/>
        <w:tabs>
          <w:tab w:pos="1279" w:val="left" w:leader="none"/>
        </w:tabs>
        <w:ind w:left="0" w:right="325"/>
        <w:jc w:val="center"/>
        <w:rPr>
          <w:rFonts w:ascii="Droid Sans Fallback" w:eastAsia="Droid Sans Fallback" w:hint="eastAsia"/>
        </w:rPr>
      </w:pPr>
      <w:r>
        <w:rPr>
          <w:rFonts w:ascii="Droid Sans Fallback" w:eastAsia="Droid Sans Fallback" w:hint="eastAsia"/>
        </w:rPr>
        <w:t>第二章</w:t>
        <w:tab/>
        <w:t>适用对象</w:t>
      </w:r>
    </w:p>
    <w:p>
      <w:pPr>
        <w:pStyle w:val="BodyText"/>
        <w:spacing w:before="17"/>
        <w:ind w:left="0"/>
        <w:rPr>
          <w:rFonts w:ascii="Droid Sans Fallback"/>
          <w:sz w:val="25"/>
        </w:rPr>
      </w:pPr>
    </w:p>
    <w:p>
      <w:pPr>
        <w:pStyle w:val="BodyText"/>
        <w:tabs>
          <w:tab w:pos="2033" w:val="left" w:leader="none"/>
        </w:tabs>
        <w:spacing w:line="619" w:lineRule="exact"/>
        <w:ind w:left="751"/>
      </w:pPr>
      <w:r>
        <w:rPr>
          <w:rFonts w:ascii="Droid Sans Fallback" w:eastAsia="Droid Sans Fallback" w:hint="eastAsia"/>
        </w:rPr>
        <w:t>第三条</w:t>
        <w:tab/>
      </w:r>
      <w:r>
        <w:rPr/>
        <w:t>文化创意产业人才应具备以下基本条件：</w:t>
      </w:r>
    </w:p>
    <w:p>
      <w:pPr>
        <w:pStyle w:val="BodyText"/>
        <w:spacing w:line="559" w:lineRule="exact"/>
        <w:ind w:left="751"/>
      </w:pPr>
      <w:r>
        <w:rPr/>
        <w:t>（一）遵纪守法，依法纳税；</w:t>
      </w:r>
    </w:p>
    <w:p>
      <w:pPr>
        <w:pStyle w:val="BodyText"/>
        <w:spacing w:line="199" w:lineRule="auto" w:before="21"/>
        <w:ind w:right="433" w:firstLine="643"/>
      </w:pPr>
      <w:r>
        <w:rPr/>
        <w:t>（二</w:t>
      </w:r>
      <w:r>
        <w:rPr>
          <w:spacing w:val="-60"/>
        </w:rPr>
        <w:t>）</w:t>
      </w:r>
      <w:r>
        <w:rPr>
          <w:spacing w:val="-6"/>
        </w:rPr>
        <w:t>具有良好的职业道德，无不良学术记录和不良诚信记录，无侵犯知识产权行为；</w:t>
      </w:r>
    </w:p>
    <w:p>
      <w:pPr>
        <w:pStyle w:val="BodyText"/>
        <w:spacing w:line="199" w:lineRule="auto"/>
        <w:ind w:right="431" w:firstLine="643"/>
        <w:jc w:val="both"/>
      </w:pPr>
      <w:r>
        <w:rPr/>
        <w:t>（三</w:t>
      </w:r>
      <w:r>
        <w:rPr>
          <w:spacing w:val="-120"/>
        </w:rPr>
        <w:t>）</w:t>
      </w:r>
      <w:r>
        <w:rPr/>
        <w:t>申请之日起近一年内与经认定的龙岗区文化创意产业园区（含进驻园区的文化企业</w:t>
      </w:r>
      <w:r>
        <w:rPr>
          <w:spacing w:val="-159"/>
        </w:rPr>
        <w:t>）</w:t>
      </w:r>
      <w:r>
        <w:rPr/>
        <w:t>、龙岗区重点文化企业、注册地</w:t>
      </w:r>
      <w:r>
        <w:rPr>
          <w:spacing w:val="6"/>
          <w:w w:val="95"/>
        </w:rPr>
        <w:t>在龙岗的区级及以上行业协会或相关主管单位签订三年或以上</w:t>
      </w:r>
    </w:p>
    <w:p>
      <w:pPr>
        <w:spacing w:after="0" w:line="199" w:lineRule="auto"/>
        <w:jc w:val="both"/>
        <w:sectPr>
          <w:pgSz w:w="11910" w:h="16840"/>
          <w:pgMar w:header="0" w:footer="975" w:top="1580" w:bottom="1160" w:left="1480" w:right="1040"/>
        </w:sectPr>
      </w:pPr>
    </w:p>
    <w:p>
      <w:pPr>
        <w:pStyle w:val="BodyText"/>
        <w:spacing w:before="7"/>
        <w:ind w:left="0"/>
        <w:rPr>
          <w:sz w:val="8"/>
        </w:rPr>
      </w:pPr>
    </w:p>
    <w:p>
      <w:pPr>
        <w:pStyle w:val="BodyText"/>
        <w:spacing w:line="521" w:lineRule="exact"/>
        <w:jc w:val="both"/>
      </w:pPr>
      <w:r>
        <w:rPr/>
        <w:t>劳动合同或为单位法人，并已缴纳社保半年以上；</w:t>
      </w:r>
    </w:p>
    <w:p>
      <w:pPr>
        <w:pStyle w:val="BodyText"/>
        <w:spacing w:line="560" w:lineRule="exact"/>
        <w:ind w:left="751"/>
      </w:pPr>
      <w:r>
        <w:rPr/>
        <w:t>（四）申请扶持奖励时年龄应在 65 岁以下（申请后备人才</w:t>
      </w:r>
    </w:p>
    <w:p>
      <w:pPr>
        <w:pStyle w:val="BodyText"/>
        <w:spacing w:line="559" w:lineRule="exact"/>
        <w:jc w:val="both"/>
      </w:pPr>
      <w:r>
        <w:rPr>
          <w:w w:val="99"/>
        </w:rPr>
        <w:t>扶持者年龄应在</w:t>
      </w:r>
      <w:r>
        <w:rPr>
          <w:spacing w:val="-81"/>
        </w:rPr>
        <w:t> </w:t>
      </w:r>
      <w:r>
        <w:rPr>
          <w:spacing w:val="1"/>
          <w:w w:val="99"/>
        </w:rPr>
        <w:t>4</w:t>
      </w:r>
      <w:r>
        <w:rPr>
          <w:w w:val="99"/>
        </w:rPr>
        <w:t>5</w:t>
      </w:r>
      <w:r>
        <w:rPr>
          <w:spacing w:val="-80"/>
        </w:rPr>
        <w:t> </w:t>
      </w:r>
      <w:r>
        <w:rPr>
          <w:w w:val="99"/>
        </w:rPr>
        <w:t>岁以下</w:t>
      </w:r>
      <w:r>
        <w:rPr>
          <w:spacing w:val="-159"/>
          <w:w w:val="99"/>
        </w:rPr>
        <w:t>）</w:t>
      </w:r>
      <w:r>
        <w:rPr>
          <w:w w:val="99"/>
        </w:rPr>
        <w:t>，行业工作经验应不少于三年。</w:t>
      </w:r>
    </w:p>
    <w:p>
      <w:pPr>
        <w:pStyle w:val="BodyText"/>
        <w:tabs>
          <w:tab w:pos="2033" w:val="left" w:leader="none"/>
        </w:tabs>
        <w:spacing w:line="560" w:lineRule="exact"/>
        <w:ind w:left="751"/>
      </w:pPr>
      <w:r>
        <w:rPr>
          <w:rFonts w:ascii="Droid Sans Fallback" w:eastAsia="Droid Sans Fallback" w:hint="eastAsia"/>
        </w:rPr>
        <w:t>第四条</w:t>
        <w:tab/>
      </w:r>
      <w:r>
        <w:rPr/>
        <w:t>文化创意产业人才分类和范围如下：</w:t>
      </w:r>
    </w:p>
    <w:p>
      <w:pPr>
        <w:pStyle w:val="BodyText"/>
        <w:spacing w:line="196" w:lineRule="auto" w:before="27"/>
        <w:ind w:right="433" w:firstLine="643"/>
        <w:jc w:val="both"/>
      </w:pPr>
      <w:r>
        <w:rPr>
          <w:spacing w:val="-7"/>
        </w:rPr>
        <w:t>文化创意产业产业人才分为专业技术类、运营管理类和职业</w:t>
      </w:r>
      <w:r>
        <w:rPr>
          <w:spacing w:val="-23"/>
        </w:rPr>
        <w:t>经纪人类 </w:t>
      </w:r>
      <w:r>
        <w:rPr/>
        <w:t>3</w:t>
      </w:r>
      <w:r>
        <w:rPr>
          <w:spacing w:val="-19"/>
        </w:rPr>
        <w:t> 种，每种类别下细分领军、骨干、优秀、后备 </w:t>
      </w:r>
      <w:r>
        <w:rPr/>
        <w:t>4</w:t>
      </w:r>
      <w:r>
        <w:rPr>
          <w:spacing w:val="-28"/>
        </w:rPr>
        <w:t> 个等次，分别对应不同的奖励扶持标准。</w:t>
      </w:r>
    </w:p>
    <w:p>
      <w:pPr>
        <w:pStyle w:val="BodyText"/>
        <w:spacing w:line="545" w:lineRule="exact"/>
        <w:ind w:left="747"/>
        <w:rPr>
          <w:rFonts w:ascii="Noto Sans CJK JP Regular" w:eastAsia="Noto Sans CJK JP Regular" w:hint="eastAsia"/>
        </w:rPr>
      </w:pPr>
      <w:r>
        <w:rPr>
          <w:rFonts w:ascii="Noto Sans CJK JP Regular" w:eastAsia="Noto Sans CJK JP Regular" w:hint="eastAsia"/>
        </w:rPr>
        <w:t>（一）专业技术类人才</w:t>
      </w:r>
    </w:p>
    <w:p>
      <w:pPr>
        <w:pStyle w:val="BodyText"/>
        <w:spacing w:line="559" w:lineRule="exact"/>
        <w:ind w:left="747"/>
      </w:pPr>
      <w:r>
        <w:rPr/>
        <w:t>1.工艺美术类</w:t>
      </w:r>
    </w:p>
    <w:p>
      <w:pPr>
        <w:pStyle w:val="BodyText"/>
        <w:spacing w:line="199" w:lineRule="auto" w:before="20"/>
        <w:ind w:right="274" w:firstLine="638"/>
        <w:jc w:val="both"/>
      </w:pPr>
      <w:r>
        <w:rPr>
          <w:spacing w:val="-11"/>
        </w:rPr>
        <w:t>领军人才：中国美协副主席、艺委会主任或以上职务，省级</w:t>
      </w:r>
      <w:r>
        <w:rPr>
          <w:spacing w:val="-13"/>
        </w:rPr>
        <w:t>美协主席，国内外知名艺术院校副校长以上职务，中国工艺美术</w:t>
      </w:r>
      <w:r>
        <w:rPr>
          <w:spacing w:val="-21"/>
          <w:w w:val="95"/>
        </w:rPr>
        <w:t>大师，近五年在全国美展等省部级单位主办</w:t>
      </w:r>
      <w:r>
        <w:rPr>
          <w:w w:val="95"/>
        </w:rPr>
        <w:t>（非与地方合作性质， </w:t>
      </w:r>
      <w:r>
        <w:rPr/>
        <w:t>下同）的工艺美术类评奖活动中获金奖级别者；</w:t>
      </w:r>
    </w:p>
    <w:p>
      <w:pPr>
        <w:pStyle w:val="BodyText"/>
        <w:spacing w:line="199" w:lineRule="auto"/>
        <w:ind w:right="431" w:firstLine="638"/>
        <w:jc w:val="both"/>
      </w:pPr>
      <w:r>
        <w:rPr>
          <w:spacing w:val="-11"/>
        </w:rPr>
        <w:t>骨干人才：中国美协理事，省级美协副主席，地市级美协主</w:t>
      </w:r>
      <w:r>
        <w:rPr>
          <w:spacing w:val="-12"/>
        </w:rPr>
        <w:t>席，国内外高等院校艺术专业系主任、教授以上职务，省级工艺</w:t>
      </w:r>
      <w:r>
        <w:rPr>
          <w:spacing w:val="-14"/>
          <w:w w:val="95"/>
        </w:rPr>
        <w:t>美术大师，近五年在天工奖、工艺美术百花奖等全国性权威行业 </w:t>
      </w:r>
      <w:r>
        <w:rPr>
          <w:spacing w:val="-19"/>
        </w:rPr>
        <w:t>协会主办的工艺美术类评奖活动获金奖级别者，或在全国美展等省部级单位主办的工艺美术类评奖活动中获银铜奖级别者；</w:t>
      </w:r>
    </w:p>
    <w:p>
      <w:pPr>
        <w:pStyle w:val="BodyText"/>
        <w:spacing w:line="523" w:lineRule="exact"/>
        <w:ind w:left="747"/>
      </w:pPr>
      <w:r>
        <w:rPr/>
        <w:t>优秀人才：省级美协理事，地市级美协副主席，地市级工艺</w:t>
      </w:r>
    </w:p>
    <w:p>
      <w:pPr>
        <w:pStyle w:val="BodyText"/>
        <w:spacing w:line="199" w:lineRule="auto" w:before="12"/>
        <w:ind w:right="431"/>
        <w:jc w:val="both"/>
      </w:pPr>
      <w:r>
        <w:rPr>
          <w:spacing w:val="-12"/>
          <w:w w:val="95"/>
        </w:rPr>
        <w:t>美术大师，近五年在天工奖、工艺美术百花奖等全国性权威行业 </w:t>
      </w:r>
      <w:r>
        <w:rPr>
          <w:spacing w:val="-17"/>
        </w:rPr>
        <w:t>协会主办的工艺美术类评奖活动中获银奖级别者，或在厅局级单</w:t>
      </w:r>
      <w:r>
        <w:rPr>
          <w:spacing w:val="6"/>
          <w:w w:val="95"/>
        </w:rPr>
        <w:t>位或省级权威行业协会主办的工艺美术类评奖活动中获金奖级 </w:t>
      </w:r>
      <w:r>
        <w:rPr>
          <w:spacing w:val="6"/>
        </w:rPr>
        <w:t>别者；</w:t>
      </w:r>
    </w:p>
    <w:p>
      <w:pPr>
        <w:spacing w:after="0" w:line="199" w:lineRule="auto"/>
        <w:jc w:val="both"/>
        <w:sectPr>
          <w:pgSz w:w="11910" w:h="16840"/>
          <w:pgMar w:header="0" w:footer="975" w:top="1580" w:bottom="1160" w:left="1480" w:right="1040"/>
        </w:sectPr>
      </w:pPr>
    </w:p>
    <w:p>
      <w:pPr>
        <w:pStyle w:val="BodyText"/>
        <w:spacing w:before="7"/>
        <w:ind w:left="0"/>
        <w:rPr>
          <w:sz w:val="8"/>
        </w:rPr>
      </w:pPr>
    </w:p>
    <w:p>
      <w:pPr>
        <w:pStyle w:val="BodyText"/>
        <w:spacing w:line="521" w:lineRule="exact"/>
        <w:ind w:left="747"/>
      </w:pPr>
      <w:r>
        <w:rPr/>
        <w:t>后备人才：地市级美协理事，近五年在天工奖、工艺美术百</w:t>
      </w:r>
    </w:p>
    <w:p>
      <w:pPr>
        <w:pStyle w:val="BodyText"/>
        <w:spacing w:line="196" w:lineRule="auto" w:before="27"/>
        <w:ind w:right="431"/>
        <w:jc w:val="both"/>
      </w:pPr>
      <w:r>
        <w:rPr>
          <w:spacing w:val="6"/>
          <w:w w:val="95"/>
        </w:rPr>
        <w:t>花奖等全国性权威行业协会主办的工艺美术类评奖活动中获铜 </w:t>
      </w:r>
      <w:r>
        <w:rPr>
          <w:spacing w:val="-10"/>
        </w:rPr>
        <w:t>奖级别者，或在地市级政府部门或地市级权威行业协会主办的工艺美术类评奖活动中获金奖级别者。</w:t>
      </w:r>
    </w:p>
    <w:p>
      <w:pPr>
        <w:pStyle w:val="BodyText"/>
        <w:spacing w:line="545" w:lineRule="exact"/>
        <w:ind w:left="747"/>
      </w:pPr>
      <w:r>
        <w:rPr/>
        <w:t>2.创意设计类</w:t>
      </w:r>
    </w:p>
    <w:p>
      <w:pPr>
        <w:pStyle w:val="BodyText"/>
        <w:spacing w:line="199" w:lineRule="auto" w:before="20"/>
        <w:ind w:right="316" w:firstLine="638"/>
        <w:jc w:val="both"/>
      </w:pPr>
      <w:r>
        <w:rPr>
          <w:spacing w:val="-9"/>
        </w:rPr>
        <w:t>领军人才：近五年在 </w:t>
      </w:r>
      <w:r>
        <w:rPr/>
        <w:t>iF</w:t>
      </w:r>
      <w:r>
        <w:rPr>
          <w:spacing w:val="-19"/>
        </w:rPr>
        <w:t> 奖、红点奖、纽约 </w:t>
      </w:r>
      <w:r>
        <w:rPr/>
        <w:t>ADC</w:t>
      </w:r>
      <w:r>
        <w:rPr>
          <w:spacing w:val="-21"/>
        </w:rPr>
        <w:t>、东京 </w:t>
      </w:r>
      <w:r>
        <w:rPr/>
        <w:t>ADC、</w:t>
      </w:r>
      <w:r>
        <w:rPr>
          <w:spacing w:val="-10"/>
        </w:rPr>
        <w:t>普利兹克建筑奖、美国金铅笔奖、伦敦国际广告奖、戛纳广告大</w:t>
      </w:r>
      <w:r>
        <w:rPr>
          <w:spacing w:val="-34"/>
        </w:rPr>
        <w:t>奖、</w:t>
      </w:r>
      <w:r>
        <w:rPr/>
        <w:t>Pentawards</w:t>
      </w:r>
      <w:r>
        <w:rPr>
          <w:spacing w:val="-22"/>
        </w:rPr>
        <w:t> 包装设计奖、</w:t>
      </w:r>
      <w:r>
        <w:rPr/>
        <w:t>APIDA</w:t>
      </w:r>
      <w:r>
        <w:rPr>
          <w:spacing w:val="-10"/>
        </w:rPr>
        <w:t> 亚太室内设计奖以及其他同</w:t>
      </w:r>
      <w:r>
        <w:rPr>
          <w:spacing w:val="6"/>
        </w:rPr>
        <w:t>级别的国际重要创意设计类评奖中获个人奖项的主要奖项或金奖级别者；</w:t>
      </w:r>
    </w:p>
    <w:p>
      <w:pPr>
        <w:pStyle w:val="BodyText"/>
        <w:spacing w:line="196" w:lineRule="auto"/>
        <w:ind w:right="431" w:firstLine="638"/>
        <w:jc w:val="both"/>
      </w:pPr>
      <w:r>
        <w:rPr>
          <w:spacing w:val="-1"/>
        </w:rPr>
        <w:t>骨干人才：近五年获上述奖项银奖级别者，或在美国 </w:t>
      </w:r>
      <w:r>
        <w:rPr/>
        <w:t>IDEA </w:t>
      </w:r>
      <w:r>
        <w:rPr>
          <w:spacing w:val="-15"/>
        </w:rPr>
        <w:t>奖、日本 </w:t>
      </w:r>
      <w:r>
        <w:rPr/>
        <w:t>G-MARK</w:t>
      </w:r>
      <w:r>
        <w:rPr>
          <w:spacing w:val="-9"/>
        </w:rPr>
        <w:t> 奖、莫比杰出广告奖、克里奥国际广告奖、纽</w:t>
      </w:r>
      <w:r>
        <w:rPr>
          <w:spacing w:val="-12"/>
          <w:w w:val="95"/>
        </w:rPr>
        <w:t>约广告奖、中国服装设计金顶奖、中国国际室内设计双年展、中</w:t>
      </w:r>
    </w:p>
    <w:p>
      <w:pPr>
        <w:pStyle w:val="BodyText"/>
        <w:spacing w:line="199" w:lineRule="auto"/>
        <w:ind w:right="431"/>
        <w:jc w:val="both"/>
      </w:pPr>
      <w:r>
        <w:rPr/>
        <w:t>国国际珠宝首饰设计大赛、光华龙腾设计创新奖-中国设计业十</w:t>
      </w:r>
      <w:r>
        <w:rPr>
          <w:spacing w:val="-27"/>
        </w:rPr>
        <w:t>大杰出青年、</w:t>
      </w:r>
      <w:r>
        <w:rPr>
          <w:w w:val="190"/>
        </w:rPr>
        <w:t>“</w:t>
      </w:r>
      <w:r>
        <w:rPr/>
        <w:t>创意中国</w:t>
      </w:r>
      <w:r>
        <w:rPr>
          <w:w w:val="190"/>
        </w:rPr>
        <w:t>”</w:t>
      </w:r>
      <w:r>
        <w:rPr/>
        <w:t>设计大奖、中国创意产业年度大奖以</w:t>
      </w:r>
      <w:r>
        <w:rPr>
          <w:spacing w:val="6"/>
          <w:w w:val="95"/>
        </w:rPr>
        <w:t>及其他同级别的国内外重要创意设计类评奖中获个人奖项的主 </w:t>
      </w:r>
      <w:r>
        <w:rPr>
          <w:spacing w:val="6"/>
        </w:rPr>
        <w:t>要奖项或金奖级别者；</w:t>
      </w:r>
    </w:p>
    <w:p>
      <w:pPr>
        <w:pStyle w:val="BodyText"/>
        <w:spacing w:line="196" w:lineRule="auto"/>
        <w:ind w:right="431" w:firstLine="480"/>
      </w:pPr>
      <w:r>
        <w:rPr/>
        <w:t>优秀人才：近五年获上述领军人才相关奖项的铜奖级别和骨</w:t>
      </w:r>
      <w:r>
        <w:rPr>
          <w:spacing w:val="-7"/>
        </w:rPr>
        <w:t>干人才相关奖项的银铜奖级别者，或五年内在台湾金点奖，深圳</w:t>
      </w:r>
    </w:p>
    <w:p>
      <w:pPr>
        <w:pStyle w:val="BodyText"/>
        <w:spacing w:line="196" w:lineRule="auto"/>
        <w:ind w:right="433"/>
        <w:jc w:val="both"/>
      </w:pPr>
      <w:r>
        <w:rPr>
          <w:spacing w:val="-5"/>
          <w:w w:val="95"/>
        </w:rPr>
        <w:t>创意设计七彩奖创意设计大奖金奖以及由省部级单位、全国性权 </w:t>
      </w:r>
      <w:r>
        <w:rPr>
          <w:spacing w:val="-5"/>
        </w:rPr>
        <w:t>威行业协会举办的创意设计类评选中获个人奖项者；</w:t>
      </w:r>
    </w:p>
    <w:p>
      <w:pPr>
        <w:pStyle w:val="BodyText"/>
        <w:spacing w:line="199" w:lineRule="auto"/>
        <w:ind w:right="433" w:firstLine="638"/>
      </w:pPr>
      <w:r>
        <w:rPr>
          <w:spacing w:val="-12"/>
        </w:rPr>
        <w:t>后备人才：近五年获由厅局级单位、省级权威行业协会举办的创意设计类评选个人奖项的获奖者。</w:t>
      </w:r>
    </w:p>
    <w:p>
      <w:pPr>
        <w:spacing w:after="0" w:line="199" w:lineRule="auto"/>
        <w:sectPr>
          <w:pgSz w:w="11910" w:h="16840"/>
          <w:pgMar w:header="0" w:footer="975" w:top="1580" w:bottom="1160" w:left="1480" w:right="1040"/>
        </w:sectPr>
      </w:pPr>
    </w:p>
    <w:p>
      <w:pPr>
        <w:pStyle w:val="BodyText"/>
        <w:spacing w:before="7"/>
        <w:ind w:left="0"/>
        <w:rPr>
          <w:sz w:val="8"/>
        </w:rPr>
      </w:pPr>
    </w:p>
    <w:p>
      <w:pPr>
        <w:pStyle w:val="BodyText"/>
        <w:spacing w:line="521" w:lineRule="exact"/>
        <w:ind w:left="747"/>
      </w:pPr>
      <w:r>
        <w:rPr/>
        <w:t>3.影视动漫类</w:t>
      </w:r>
    </w:p>
    <w:p>
      <w:pPr>
        <w:pStyle w:val="BodyText"/>
        <w:spacing w:line="199" w:lineRule="auto" w:before="22"/>
        <w:ind w:right="316" w:firstLine="638"/>
        <w:jc w:val="both"/>
      </w:pPr>
      <w:r>
        <w:rPr>
          <w:spacing w:val="-11"/>
        </w:rPr>
        <w:t>领军人才：近五年获国际级影视大奖提名者，或在香港金像</w:t>
      </w:r>
      <w:r>
        <w:rPr>
          <w:spacing w:val="-12"/>
        </w:rPr>
        <w:t>奖、台湾金马奖、金鸡百花奖、金鹰奖、华表奖、飞天奖、中国</w:t>
      </w:r>
      <w:r>
        <w:rPr>
          <w:spacing w:val="6"/>
        </w:rPr>
        <w:t>文化艺术政府奖动漫奖等国家和地区影视演艺类评奖中获个人</w:t>
      </w:r>
      <w:r>
        <w:rPr>
          <w:spacing w:val="-8"/>
        </w:rPr>
        <w:t>奖项金奖者，或在获金奖作品创作团队中担任主创，或在近五年</w:t>
      </w:r>
      <w:r>
        <w:rPr>
          <w:spacing w:val="6"/>
        </w:rPr>
        <w:t>上映的票房过亿的影视作品或在央视少儿频道播出的动漫节目创作团队中担任主创（</w:t>
      </w:r>
      <w:r>
        <w:rPr/>
        <w:t>每个创作团队主创人员最多不超过 3</w:t>
      </w:r>
      <w:r>
        <w:rPr>
          <w:spacing w:val="-28"/>
        </w:rPr>
        <w:t> 人， </w:t>
      </w:r>
      <w:r>
        <w:rPr>
          <w:spacing w:val="-28"/>
          <w:w w:val="99"/>
        </w:rPr>
        <w:t>下同</w:t>
      </w:r>
      <w:r>
        <w:rPr>
          <w:spacing w:val="-159"/>
          <w:w w:val="99"/>
        </w:rPr>
        <w:t>）</w:t>
      </w:r>
      <w:r>
        <w:rPr>
          <w:w w:val="99"/>
        </w:rPr>
        <w:t>；</w:t>
      </w:r>
    </w:p>
    <w:p>
      <w:pPr>
        <w:pStyle w:val="BodyText"/>
        <w:spacing w:line="516" w:lineRule="exact"/>
        <w:ind w:left="747"/>
      </w:pPr>
      <w:r>
        <w:rPr>
          <w:spacing w:val="-11"/>
          <w:w w:val="95"/>
        </w:rPr>
        <w:t>骨干人才：近五年获上述奖项银奖级别者，或近五年获省级</w:t>
      </w:r>
    </w:p>
    <w:p>
      <w:pPr>
        <w:pStyle w:val="BodyText"/>
        <w:spacing w:line="560" w:lineRule="exact"/>
      </w:pPr>
      <w:r>
        <w:rPr>
          <w:spacing w:val="6"/>
          <w:w w:val="95"/>
        </w:rPr>
        <w:t>影视演艺类评奖个人奖项金奖级别，或在省级以上电视频道、</w:t>
      </w:r>
    </w:p>
    <w:p>
      <w:pPr>
        <w:pStyle w:val="BodyText"/>
        <w:spacing w:line="196" w:lineRule="auto" w:before="27"/>
        <w:ind w:right="433"/>
      </w:pPr>
      <w:r>
        <w:rPr/>
        <w:t>Alexa</w:t>
      </w:r>
      <w:r>
        <w:rPr>
          <w:spacing w:val="-35"/>
        </w:rPr>
        <w:t> 排名前 </w:t>
      </w:r>
      <w:r>
        <w:rPr/>
        <w:t>500</w:t>
      </w:r>
      <w:r>
        <w:rPr>
          <w:spacing w:val="-12"/>
        </w:rPr>
        <w:t> 的网站首页热播节目、在省级少儿频道热播动漫作品、全国院线上映影视作品中担任主创；</w:t>
      </w:r>
    </w:p>
    <w:p>
      <w:pPr>
        <w:pStyle w:val="BodyText"/>
        <w:spacing w:line="199" w:lineRule="auto" w:before="1"/>
        <w:ind w:right="316" w:firstLine="638"/>
        <w:jc w:val="both"/>
      </w:pPr>
      <w:r>
        <w:rPr/>
        <w:t>优秀人才：近五年获上述领军人才中相关奖项铜奖级别者， </w:t>
      </w:r>
      <w:r>
        <w:rPr>
          <w:spacing w:val="2"/>
          <w:w w:val="99"/>
        </w:rPr>
        <w:t>或近五年获省级影视演艺类评奖个人奖项者（金奖除外</w:t>
      </w:r>
      <w:r>
        <w:rPr>
          <w:spacing w:val="-159"/>
          <w:w w:val="99"/>
        </w:rPr>
        <w:t>）</w:t>
      </w:r>
      <w:r>
        <w:rPr>
          <w:spacing w:val="1"/>
          <w:w w:val="99"/>
        </w:rPr>
        <w:t>，或近</w:t>
      </w:r>
      <w:r>
        <w:rPr>
          <w:spacing w:val="-5"/>
        </w:rPr>
        <w:t>五年获地市级影视演艺类评奖个人奖项金奖级别者，或在地市级</w:t>
      </w:r>
      <w:r>
        <w:rPr>
          <w:spacing w:val="5"/>
        </w:rPr>
        <w:t>以上电视频道、</w:t>
      </w:r>
      <w:r>
        <w:rPr/>
        <w:t>Alexa</w:t>
      </w:r>
      <w:r>
        <w:rPr>
          <w:spacing w:val="-31"/>
        </w:rPr>
        <w:t> 排名前 </w:t>
      </w:r>
      <w:r>
        <w:rPr/>
        <w:t>2000</w:t>
      </w:r>
      <w:r>
        <w:rPr>
          <w:spacing w:val="-3"/>
        </w:rPr>
        <w:t> 的网站首页热播节目、在地市级少儿频道热播动漫作品、院线上映影视作品中担任主创；</w:t>
      </w:r>
    </w:p>
    <w:p>
      <w:pPr>
        <w:pStyle w:val="BodyText"/>
        <w:spacing w:line="196" w:lineRule="auto"/>
        <w:ind w:right="433" w:firstLine="638"/>
      </w:pPr>
      <w:r>
        <w:rPr>
          <w:spacing w:val="-11"/>
        </w:rPr>
        <w:t>后备人才：近五年获地市级影视演艺类评奖个人奖项者</w:t>
      </w:r>
      <w:r>
        <w:rPr/>
        <w:t>（金</w:t>
      </w:r>
      <w:r>
        <w:rPr>
          <w:spacing w:val="1"/>
          <w:w w:val="99"/>
        </w:rPr>
        <w:t>奖除外</w:t>
      </w:r>
      <w:r>
        <w:rPr>
          <w:spacing w:val="-156"/>
          <w:w w:val="99"/>
        </w:rPr>
        <w:t>）</w:t>
      </w:r>
      <w:r>
        <w:rPr>
          <w:spacing w:val="1"/>
          <w:w w:val="99"/>
        </w:rPr>
        <w:t>，或在县区级以上电视频道热播电视节目、在县区级少</w:t>
      </w:r>
    </w:p>
    <w:p>
      <w:pPr>
        <w:pStyle w:val="BodyText"/>
        <w:spacing w:line="542" w:lineRule="exact"/>
      </w:pPr>
      <w:r>
        <w:rPr/>
        <w:t>儿频道热播动漫作品中担任主创。</w:t>
      </w:r>
    </w:p>
    <w:p>
      <w:pPr>
        <w:pStyle w:val="BodyText"/>
        <w:spacing w:line="559" w:lineRule="exact"/>
        <w:ind w:left="747"/>
      </w:pPr>
      <w:r>
        <w:rPr/>
        <w:t>4.其他类</w:t>
      </w:r>
    </w:p>
    <w:p>
      <w:pPr>
        <w:pStyle w:val="BodyText"/>
        <w:spacing w:line="199" w:lineRule="auto" w:before="11"/>
        <w:ind w:right="248" w:firstLine="638"/>
      </w:pPr>
      <w:r>
        <w:rPr>
          <w:w w:val="105"/>
        </w:rPr>
        <w:t>领军人才：近五年获中国文化艺术政府奖 </w:t>
      </w:r>
      <w:r>
        <w:rPr>
          <w:w w:val="160"/>
        </w:rPr>
        <w:t>“</w:t>
      </w:r>
      <w:r>
        <w:rPr>
          <w:w w:val="105"/>
        </w:rPr>
        <w:t>文华奖</w:t>
      </w:r>
      <w:r>
        <w:rPr>
          <w:w w:val="160"/>
        </w:rPr>
        <w:t>”</w:t>
      </w:r>
      <w:r>
        <w:rPr>
          <w:w w:val="105"/>
        </w:rPr>
        <w:t>单项</w:t>
      </w:r>
      <w:r>
        <w:rPr/>
        <w:t>奖（文华剧作奖、文华导演奖、文华编导奖、文华音乐创作奖、</w:t>
      </w:r>
    </w:p>
    <w:p>
      <w:pPr>
        <w:spacing w:after="0" w:line="199" w:lineRule="auto"/>
        <w:sectPr>
          <w:pgSz w:w="11910" w:h="16840"/>
          <w:pgMar w:header="0" w:footer="975" w:top="1580" w:bottom="1160" w:left="1480" w:right="1040"/>
        </w:sectPr>
      </w:pPr>
    </w:p>
    <w:p>
      <w:pPr>
        <w:pStyle w:val="BodyText"/>
        <w:spacing w:before="7"/>
        <w:ind w:left="0"/>
        <w:rPr>
          <w:sz w:val="8"/>
        </w:rPr>
      </w:pPr>
    </w:p>
    <w:p>
      <w:pPr>
        <w:pStyle w:val="BodyText"/>
        <w:spacing w:line="521" w:lineRule="exact"/>
      </w:pPr>
      <w:r>
        <w:rPr>
          <w:spacing w:val="-12"/>
        </w:rPr>
        <w:t>文华舞台美术奖、文华表演奖</w:t>
      </w:r>
      <w:r>
        <w:rPr>
          <w:spacing w:val="-137"/>
        </w:rPr>
        <w:t>）</w:t>
      </w:r>
      <w:r>
        <w:rPr/>
        <w:t>一等奖作品创作团队中担任主创、</w:t>
      </w:r>
    </w:p>
    <w:p>
      <w:pPr>
        <w:pStyle w:val="BodyText"/>
        <w:spacing w:line="196" w:lineRule="auto" w:before="27"/>
        <w:ind w:right="433"/>
        <w:jc w:val="both"/>
      </w:pPr>
      <w:r>
        <w:rPr/>
        <w:t>ChinaJoy</w:t>
      </w:r>
      <w:r>
        <w:rPr>
          <w:spacing w:val="-5"/>
        </w:rPr>
        <w:t> 金翎奖、金凤凰奖中获个人奖项金奖者，或在获金奖</w:t>
      </w:r>
      <w:r>
        <w:rPr>
          <w:spacing w:val="-12"/>
        </w:rPr>
        <w:t>作品创作团队中担任主创近五年获得“中华技能大师”称号且从 </w:t>
      </w:r>
      <w:r>
        <w:rPr>
          <w:spacing w:val="-12"/>
          <w:w w:val="105"/>
        </w:rPr>
        <w:t>事行业属我区文化创意产业重点扶持领域的技能型人才；</w:t>
      </w:r>
    </w:p>
    <w:p>
      <w:pPr>
        <w:pStyle w:val="BodyText"/>
        <w:spacing w:line="199" w:lineRule="auto" w:before="6"/>
        <w:ind w:right="431" w:firstLine="638"/>
        <w:jc w:val="both"/>
      </w:pPr>
      <w:r>
        <w:rPr>
          <w:spacing w:val="-6"/>
          <w:w w:val="105"/>
        </w:rPr>
        <w:t>骨干人才：近五年获中国文化艺术政府奖 </w:t>
      </w:r>
      <w:r>
        <w:rPr>
          <w:w w:val="135"/>
        </w:rPr>
        <w:t>“</w:t>
      </w:r>
      <w:r>
        <w:rPr>
          <w:w w:val="105"/>
        </w:rPr>
        <w:t>文华奖</w:t>
      </w:r>
      <w:r>
        <w:rPr>
          <w:w w:val="135"/>
        </w:rPr>
        <w:t>”</w:t>
      </w:r>
      <w:r>
        <w:rPr>
          <w:w w:val="105"/>
        </w:rPr>
        <w:t>二等</w:t>
      </w:r>
      <w:r>
        <w:rPr>
          <w:spacing w:val="-8"/>
        </w:rPr>
        <w:t>奖作品创作团队中担任主创、中国专利优秀奖、中国外观设计金奖、省专利奖金奖（须为专利发明人或设计人</w:t>
      </w:r>
      <w:r>
        <w:rPr>
          <w:spacing w:val="-159"/>
        </w:rPr>
        <w:t>）</w:t>
      </w:r>
      <w:r>
        <w:rPr/>
        <w:t>、中国出版政府</w:t>
      </w:r>
      <w:r>
        <w:rPr>
          <w:spacing w:val="-18"/>
          <w:w w:val="105"/>
        </w:rPr>
        <w:t>奖优秀出版人物奖，近 </w:t>
      </w:r>
      <w:r>
        <w:rPr>
          <w:w w:val="105"/>
        </w:rPr>
        <w:t>5</w:t>
      </w:r>
      <w:r>
        <w:rPr>
          <w:spacing w:val="-45"/>
          <w:w w:val="105"/>
        </w:rPr>
        <w:t> 年获得</w:t>
      </w:r>
      <w:r>
        <w:rPr>
          <w:w w:val="110"/>
        </w:rPr>
        <w:t>“</w:t>
      </w:r>
      <w:r>
        <w:rPr>
          <w:w w:val="105"/>
        </w:rPr>
        <w:t>全国技术能手</w:t>
      </w:r>
      <w:r>
        <w:rPr>
          <w:spacing w:val="-39"/>
          <w:w w:val="110"/>
        </w:rPr>
        <w:t>”</w:t>
      </w:r>
      <w:r>
        <w:rPr>
          <w:w w:val="105"/>
        </w:rPr>
        <w:t>称号且从事行业属我区文化创意产业重点扶持领域的技能型人才；</w:t>
      </w:r>
    </w:p>
    <w:p>
      <w:pPr>
        <w:pStyle w:val="BodyText"/>
        <w:spacing w:line="523" w:lineRule="exact"/>
        <w:ind w:left="747"/>
      </w:pPr>
      <w:r>
        <w:rPr>
          <w:spacing w:val="-12"/>
          <w:w w:val="105"/>
        </w:rPr>
        <w:t>优秀人才：在近 </w:t>
      </w:r>
      <w:r>
        <w:rPr>
          <w:w w:val="105"/>
        </w:rPr>
        <w:t>5</w:t>
      </w:r>
      <w:r>
        <w:rPr>
          <w:spacing w:val="-11"/>
          <w:w w:val="105"/>
        </w:rPr>
        <w:t> 年获中国文化艺术政府奖 “文华奖”三</w:t>
      </w:r>
    </w:p>
    <w:p>
      <w:pPr>
        <w:pStyle w:val="BodyText"/>
        <w:spacing w:line="560" w:lineRule="exact"/>
      </w:pPr>
      <w:r>
        <w:rPr>
          <w:spacing w:val="-13"/>
        </w:rPr>
        <w:t>等奖作品创作团队中担任主创者，或近 </w:t>
      </w:r>
      <w:r>
        <w:rPr/>
        <w:t>5</w:t>
      </w:r>
      <w:r>
        <w:rPr>
          <w:spacing w:val="-10"/>
        </w:rPr>
        <w:t> 年获中国文化艺术政府</w:t>
      </w:r>
    </w:p>
    <w:p>
      <w:pPr>
        <w:pStyle w:val="BodyText"/>
        <w:spacing w:line="199" w:lineRule="auto" w:before="21"/>
        <w:ind w:right="114"/>
      </w:pPr>
      <w:r>
        <w:rPr>
          <w:spacing w:val="-29"/>
        </w:rPr>
        <w:t>奖</w:t>
      </w:r>
      <w:r>
        <w:rPr>
          <w:w w:val="190"/>
        </w:rPr>
        <w:t>“</w:t>
      </w:r>
      <w:r>
        <w:rPr/>
        <w:t>群星奖</w:t>
      </w:r>
      <w:r>
        <w:rPr>
          <w:spacing w:val="-29"/>
          <w:w w:val="190"/>
        </w:rPr>
        <w:t>”</w:t>
      </w:r>
      <w:r>
        <w:rPr>
          <w:spacing w:val="-5"/>
        </w:rPr>
        <w:t>优秀节目奖获奖人第 </w:t>
      </w:r>
      <w:r>
        <w:rPr/>
        <w:t>1</w:t>
      </w:r>
      <w:r>
        <w:rPr>
          <w:spacing w:val="-12"/>
        </w:rPr>
        <w:t> 名、省专利奖优秀奖</w:t>
      </w:r>
      <w:r>
        <w:rPr/>
        <w:t>（须为专利发明人及设计人</w:t>
      </w:r>
      <w:r>
        <w:rPr>
          <w:spacing w:val="-156"/>
        </w:rPr>
        <w:t>）</w:t>
      </w:r>
      <w:r>
        <w:rPr/>
        <w:t>、中国十佳服装设计师、光华龙腾设计创 </w:t>
      </w:r>
      <w:r>
        <w:rPr>
          <w:spacing w:val="-7"/>
          <w:w w:val="95"/>
        </w:rPr>
        <w:t>新奖－中国设计业十大杰出青年提名奖、中国外观设计优秀奖者， </w:t>
      </w:r>
      <w:r>
        <w:rPr>
          <w:spacing w:val="6"/>
        </w:rPr>
        <w:t>在省部级单位或全国权威行业协会主办的游戏类评奖中获个人</w:t>
      </w:r>
      <w:r>
        <w:rPr>
          <w:spacing w:val="2"/>
        </w:rPr>
        <w:t>奖项或在获奖作品创作团队中担任主创者近 </w:t>
      </w:r>
      <w:r>
        <w:rPr/>
        <w:t>5</w:t>
      </w:r>
      <w:r>
        <w:rPr>
          <w:spacing w:val="-45"/>
        </w:rPr>
        <w:t> 年获得</w:t>
      </w:r>
      <w:r>
        <w:rPr>
          <w:w w:val="190"/>
        </w:rPr>
        <w:t>“</w:t>
      </w:r>
      <w:r>
        <w:rPr/>
        <w:t>省级技术 能手</w:t>
      </w:r>
      <w:r>
        <w:rPr>
          <w:spacing w:val="-115"/>
          <w:w w:val="190"/>
        </w:rPr>
        <w:t>”</w:t>
      </w:r>
      <w:r>
        <w:rPr/>
        <w:t>称号且从事行业属我区文化创意产业重点扶持领域的技能 型人才；</w:t>
      </w:r>
    </w:p>
    <w:p>
      <w:pPr>
        <w:pStyle w:val="BodyText"/>
        <w:spacing w:line="517" w:lineRule="exact"/>
        <w:ind w:left="747"/>
      </w:pPr>
      <w:r>
        <w:rPr/>
        <w:t>后备人才：近五年获厅局级单位或省级权威行业协会主办的</w:t>
      </w:r>
    </w:p>
    <w:p>
      <w:pPr>
        <w:pStyle w:val="BodyText"/>
        <w:spacing w:line="196" w:lineRule="auto" w:before="27"/>
        <w:ind w:right="431"/>
        <w:jc w:val="both"/>
      </w:pPr>
      <w:r>
        <w:rPr>
          <w:spacing w:val="6"/>
          <w:w w:val="95"/>
        </w:rPr>
        <w:t>游戏类评奖中获个人奖项或在获奖作品创作团队中担任主创者 </w:t>
      </w:r>
      <w:r>
        <w:rPr>
          <w:spacing w:val="-10"/>
        </w:rPr>
        <w:t>近五年获得“深圳市技术能手”称号且从事行业属我区文化创意 </w:t>
      </w:r>
      <w:r>
        <w:rPr>
          <w:spacing w:val="-10"/>
          <w:w w:val="105"/>
        </w:rPr>
        <w:t>产业重点扶持领域的技能型人才。</w:t>
      </w:r>
    </w:p>
    <w:p>
      <w:pPr>
        <w:pStyle w:val="BodyText"/>
        <w:spacing w:line="604" w:lineRule="exact"/>
        <w:ind w:left="747"/>
        <w:rPr>
          <w:rFonts w:ascii="Noto Sans CJK JP Regular" w:eastAsia="Noto Sans CJK JP Regular" w:hint="eastAsia"/>
        </w:rPr>
      </w:pPr>
      <w:r>
        <w:rPr>
          <w:rFonts w:ascii="Noto Sans CJK JP Regular" w:eastAsia="Noto Sans CJK JP Regular" w:hint="eastAsia"/>
        </w:rPr>
        <w:t>（二）运营管理类人才</w:t>
      </w:r>
    </w:p>
    <w:p>
      <w:pPr>
        <w:spacing w:after="0" w:line="604" w:lineRule="exact"/>
        <w:rPr>
          <w:rFonts w:ascii="Noto Sans CJK JP Regular" w:eastAsia="Noto Sans CJK JP Regular" w:hint="eastAsia"/>
        </w:rPr>
        <w:sectPr>
          <w:pgSz w:w="11910" w:h="16840"/>
          <w:pgMar w:header="0" w:footer="975" w:top="1580" w:bottom="1160" w:left="1480" w:right="1040"/>
        </w:sectPr>
      </w:pPr>
    </w:p>
    <w:p>
      <w:pPr>
        <w:pStyle w:val="BodyText"/>
        <w:spacing w:before="7"/>
        <w:ind w:left="0"/>
        <w:rPr>
          <w:rFonts w:ascii="Noto Sans CJK JP Regular"/>
          <w:sz w:val="8"/>
        </w:rPr>
      </w:pPr>
    </w:p>
    <w:p>
      <w:pPr>
        <w:pStyle w:val="BodyText"/>
        <w:spacing w:line="521" w:lineRule="exact"/>
        <w:ind w:left="747"/>
      </w:pPr>
      <w:r>
        <w:rPr/>
        <w:t>领军人才：近五年内在国家级文化产业示范基地、园区，或</w:t>
      </w:r>
    </w:p>
    <w:p>
      <w:pPr>
        <w:pStyle w:val="BodyText"/>
        <w:spacing w:line="199" w:lineRule="auto" w:before="22"/>
        <w:ind w:right="112"/>
      </w:pPr>
      <w:r>
        <w:rPr>
          <w:spacing w:val="-21"/>
        </w:rPr>
        <w:t>年收入 </w:t>
      </w:r>
      <w:r>
        <w:rPr/>
        <w:t>8</w:t>
      </w:r>
      <w:r>
        <w:rPr>
          <w:spacing w:val="-20"/>
        </w:rPr>
        <w:t> 亿元以上的大型生产型文化企业，或年收入 </w:t>
      </w:r>
      <w:r>
        <w:rPr/>
        <w:t>1</w:t>
      </w:r>
      <w:r>
        <w:rPr>
          <w:spacing w:val="-17"/>
        </w:rPr>
        <w:t> 亿元以上</w:t>
      </w:r>
      <w:r>
        <w:rPr>
          <w:spacing w:val="6"/>
        </w:rPr>
        <w:t>的创作研发型文化企业担任副总经理或同等级别以上的主要管</w:t>
      </w:r>
      <w:r>
        <w:rPr>
          <w:spacing w:val="-9"/>
        </w:rPr>
        <w:t>理职务满三年，上年度个人薪金总收入 </w:t>
      </w:r>
      <w:r>
        <w:rPr/>
        <w:t>100</w:t>
      </w:r>
      <w:r>
        <w:rPr>
          <w:spacing w:val="-15"/>
        </w:rPr>
        <w:t> 万元或以上，且在任 </w:t>
      </w:r>
      <w:r>
        <w:rPr>
          <w:spacing w:val="-18"/>
        </w:rPr>
        <w:t>期间企业经营情况良好、管理效益显著、取得较好的社会效益与</w:t>
      </w:r>
      <w:r>
        <w:rPr>
          <w:w w:val="99"/>
        </w:rPr>
        <w:t>经</w:t>
      </w:r>
      <w:r>
        <w:rPr>
          <w:spacing w:val="-46"/>
          <w:w w:val="99"/>
        </w:rPr>
        <w:t>济效益</w:t>
      </w:r>
      <w:r>
        <w:rPr>
          <w:spacing w:val="2"/>
          <w:w w:val="99"/>
        </w:rPr>
        <w:t>（</w:t>
      </w:r>
      <w:r>
        <w:rPr>
          <w:w w:val="99"/>
        </w:rPr>
        <w:t>每家企业同一层级人才认定五年内不超过</w:t>
      </w:r>
      <w:r>
        <w:rPr>
          <w:spacing w:val="-81"/>
        </w:rPr>
        <w:t> </w:t>
      </w:r>
      <w:r>
        <w:rPr>
          <w:w w:val="99"/>
        </w:rPr>
        <w:t>2</w:t>
      </w:r>
      <w:r>
        <w:rPr>
          <w:spacing w:val="-80"/>
        </w:rPr>
        <w:t> </w:t>
      </w:r>
      <w:r>
        <w:rPr>
          <w:spacing w:val="-34"/>
          <w:w w:val="99"/>
        </w:rPr>
        <w:t>人，下同</w:t>
      </w:r>
      <w:r>
        <w:rPr>
          <w:spacing w:val="-159"/>
          <w:w w:val="99"/>
        </w:rPr>
        <w:t>）</w:t>
      </w:r>
      <w:r>
        <w:rPr>
          <w:w w:val="99"/>
        </w:rPr>
        <w:t>；</w:t>
      </w:r>
    </w:p>
    <w:p>
      <w:pPr>
        <w:pStyle w:val="BodyText"/>
        <w:spacing w:line="523" w:lineRule="exact"/>
        <w:ind w:left="747"/>
      </w:pPr>
      <w:r>
        <w:rPr/>
        <w:t>骨干人才：近五年内在省级或以上文化产业示范基地、园区，</w:t>
      </w:r>
    </w:p>
    <w:p>
      <w:pPr>
        <w:pStyle w:val="BodyText"/>
        <w:spacing w:line="199" w:lineRule="auto" w:before="22"/>
        <w:ind w:right="431"/>
        <w:jc w:val="both"/>
      </w:pPr>
      <w:r>
        <w:rPr>
          <w:spacing w:val="-16"/>
        </w:rPr>
        <w:t>或年收入 </w:t>
      </w:r>
      <w:r>
        <w:rPr/>
        <w:t>5</w:t>
      </w:r>
      <w:r>
        <w:rPr>
          <w:spacing w:val="-13"/>
        </w:rPr>
        <w:t> 亿元以上的大型生产型文化企业或年收入 </w:t>
      </w:r>
      <w:r>
        <w:rPr/>
        <w:t>5000</w:t>
      </w:r>
      <w:r>
        <w:rPr>
          <w:spacing w:val="-26"/>
        </w:rPr>
        <w:t> 万元</w:t>
      </w:r>
      <w:r>
        <w:rPr>
          <w:spacing w:val="6"/>
          <w:w w:val="95"/>
        </w:rPr>
        <w:t>以上的创作研发型文化企业担任副总经理或同等级别以上的主 </w:t>
      </w:r>
      <w:r>
        <w:rPr>
          <w:spacing w:val="-4"/>
        </w:rPr>
        <w:t>要管理职务满三年，上年度个人薪金总收入 </w:t>
      </w:r>
      <w:r>
        <w:rPr/>
        <w:t>50</w:t>
      </w:r>
      <w:r>
        <w:rPr>
          <w:spacing w:val="-11"/>
        </w:rPr>
        <w:t> 万元或以上，且</w:t>
      </w:r>
      <w:r>
        <w:rPr>
          <w:spacing w:val="-17"/>
        </w:rPr>
        <w:t>在任期间企业经营情况良好、管理效益显著、取得较好的社会效益与经济效益；此外，上年度获评</w:t>
      </w:r>
      <w:r>
        <w:rPr>
          <w:w w:val="180"/>
        </w:rPr>
        <w:t>“</w:t>
      </w:r>
      <w:r>
        <w:rPr/>
        <w:t>深圳市文化创意产业百强企业</w:t>
      </w:r>
      <w:r>
        <w:rPr>
          <w:spacing w:val="-115"/>
          <w:w w:val="180"/>
        </w:rPr>
        <w:t>”</w:t>
      </w:r>
      <w:r>
        <w:rPr/>
        <w:t>等深圳市文化创意产业政策认定的企业可推荐一名副总经理</w:t>
      </w:r>
      <w:r>
        <w:rPr>
          <w:spacing w:val="-3"/>
        </w:rPr>
        <w:t>以上级别高管作为骨干管理人才</w:t>
      </w:r>
      <w:r>
        <w:rPr/>
        <w:t>（</w:t>
      </w:r>
      <w:r>
        <w:rPr>
          <w:spacing w:val="-6"/>
        </w:rPr>
        <w:t>三年内重复获得</w:t>
      </w:r>
      <w:r>
        <w:rPr>
          <w:w w:val="180"/>
        </w:rPr>
        <w:t>“</w:t>
      </w:r>
      <w:r>
        <w:rPr/>
        <w:t>百强</w:t>
      </w:r>
      <w:r>
        <w:rPr>
          <w:spacing w:val="-39"/>
          <w:w w:val="180"/>
        </w:rPr>
        <w:t>”</w:t>
      </w:r>
      <w:r>
        <w:rPr/>
        <w:t>认定</w:t>
      </w:r>
      <w:r>
        <w:rPr>
          <w:w w:val="99"/>
        </w:rPr>
        <w:t>的企业不得再次推荐</w:t>
      </w:r>
      <w:r>
        <w:rPr>
          <w:spacing w:val="-161"/>
          <w:w w:val="99"/>
        </w:rPr>
        <w:t>）</w:t>
      </w:r>
      <w:r>
        <w:rPr>
          <w:w w:val="99"/>
        </w:rPr>
        <w:t>；</w:t>
      </w:r>
    </w:p>
    <w:p>
      <w:pPr>
        <w:pStyle w:val="BodyText"/>
        <w:spacing w:line="513" w:lineRule="exact"/>
        <w:ind w:left="747"/>
      </w:pPr>
      <w:r>
        <w:rPr/>
        <w:t>优秀人才：近五年内在地市级或以上文化产业示范基地、园</w:t>
      </w:r>
    </w:p>
    <w:p>
      <w:pPr>
        <w:pStyle w:val="BodyText"/>
        <w:spacing w:line="199" w:lineRule="auto" w:before="22"/>
        <w:ind w:right="274"/>
        <w:jc w:val="both"/>
      </w:pPr>
      <w:r>
        <w:rPr>
          <w:spacing w:val="-28"/>
        </w:rPr>
        <w:t>区，或年收入 </w:t>
      </w:r>
      <w:r>
        <w:rPr/>
        <w:t>3</w:t>
      </w:r>
      <w:r>
        <w:rPr>
          <w:spacing w:val="-20"/>
        </w:rPr>
        <w:t> 亿元以上的大型生产型文化企业，或年收入 </w:t>
      </w:r>
      <w:r>
        <w:rPr/>
        <w:t>3000 </w:t>
      </w:r>
      <w:r>
        <w:rPr>
          <w:spacing w:val="6"/>
        </w:rPr>
        <w:t>万元以上的创作研发型文化企业担任副总经理或同等级别以上</w:t>
      </w:r>
      <w:r>
        <w:rPr>
          <w:spacing w:val="-9"/>
        </w:rPr>
        <w:t>的主要管理职务满三年，上年度个人薪金总收入 </w:t>
      </w:r>
      <w:r>
        <w:rPr/>
        <w:t>30</w:t>
      </w:r>
      <w:r>
        <w:rPr>
          <w:spacing w:val="-14"/>
        </w:rPr>
        <w:t> 万元或以上， </w:t>
      </w:r>
      <w:r>
        <w:rPr>
          <w:spacing w:val="-18"/>
        </w:rPr>
        <w:t>且在任期间企业经营情况良好、管理效益显著、取得较好的社会</w:t>
      </w:r>
      <w:r>
        <w:rPr>
          <w:spacing w:val="-17"/>
        </w:rPr>
        <w:t>效益与经济效益；此外，近三年单个项目获深圳市文化创意产业</w:t>
      </w:r>
      <w:r>
        <w:rPr>
          <w:spacing w:val="-24"/>
        </w:rPr>
        <w:t>发展专项资金扶持 </w:t>
      </w:r>
      <w:r>
        <w:rPr/>
        <w:t>30</w:t>
      </w:r>
      <w:r>
        <w:rPr>
          <w:spacing w:val="-8"/>
        </w:rPr>
        <w:t> 万元以上的企业可推荐一名副总经理以上级别高管作为优秀管理人才；</w:t>
      </w:r>
    </w:p>
    <w:p>
      <w:pPr>
        <w:spacing w:after="0" w:line="199" w:lineRule="auto"/>
        <w:jc w:val="both"/>
        <w:sectPr>
          <w:pgSz w:w="11910" w:h="16840"/>
          <w:pgMar w:header="0" w:footer="975" w:top="1580" w:bottom="1160" w:left="1480" w:right="1040"/>
        </w:sectPr>
      </w:pPr>
    </w:p>
    <w:p>
      <w:pPr>
        <w:pStyle w:val="BodyText"/>
        <w:spacing w:before="7"/>
        <w:ind w:left="0"/>
        <w:rPr>
          <w:sz w:val="8"/>
        </w:rPr>
      </w:pPr>
    </w:p>
    <w:p>
      <w:pPr>
        <w:pStyle w:val="BodyText"/>
        <w:spacing w:line="521" w:lineRule="exact"/>
        <w:ind w:left="747"/>
      </w:pPr>
      <w:r>
        <w:rPr/>
        <w:t>后备人才：近五年内在地市级或以上文化产业示范基地、园</w:t>
      </w:r>
    </w:p>
    <w:p>
      <w:pPr>
        <w:pStyle w:val="BodyText"/>
        <w:spacing w:line="199" w:lineRule="auto" w:before="22"/>
        <w:ind w:right="431"/>
        <w:jc w:val="both"/>
      </w:pPr>
      <w:r>
        <w:rPr>
          <w:spacing w:val="-33"/>
        </w:rPr>
        <w:t>区，或在年收入 </w:t>
      </w:r>
      <w:r>
        <w:rPr/>
        <w:t>1</w:t>
      </w:r>
      <w:r>
        <w:rPr>
          <w:spacing w:val="-16"/>
        </w:rPr>
        <w:t> 亿元以上的大型生产型文化企业或年收入 </w:t>
      </w:r>
      <w:r>
        <w:rPr/>
        <w:t>2000 </w:t>
      </w:r>
      <w:r>
        <w:rPr>
          <w:spacing w:val="6"/>
          <w:w w:val="95"/>
        </w:rPr>
        <w:t>万元以上的创作研发型文化企业担任总经理或同等级别以上的 </w:t>
      </w:r>
      <w:r>
        <w:rPr>
          <w:spacing w:val="-4"/>
        </w:rPr>
        <w:t>主要管理职务满三年，上年度个人薪金总收入 </w:t>
      </w:r>
      <w:r>
        <w:rPr/>
        <w:t>20</w:t>
      </w:r>
      <w:r>
        <w:rPr>
          <w:spacing w:val="-12"/>
        </w:rPr>
        <w:t> 万元或以上， </w:t>
      </w:r>
      <w:r>
        <w:rPr>
          <w:spacing w:val="-18"/>
        </w:rPr>
        <w:t>且在任期间企业经营情况良好、管理效益显著、取得较好的社会效益与经济效益;此外，近三年单个项目获深圳市龙岗区文化创</w:t>
      </w:r>
      <w:r>
        <w:rPr>
          <w:spacing w:val="-23"/>
        </w:rPr>
        <w:t>意产业发展专项经费扶持 </w:t>
      </w:r>
      <w:r>
        <w:rPr/>
        <w:t>20</w:t>
      </w:r>
      <w:r>
        <w:rPr>
          <w:spacing w:val="-8"/>
        </w:rPr>
        <w:t> 万元以上的企业可推荐一名副总经理以上级别高管作为后备管理人才。</w:t>
      </w:r>
    </w:p>
    <w:p>
      <w:pPr>
        <w:pStyle w:val="BodyText"/>
        <w:spacing w:line="516" w:lineRule="exact"/>
        <w:ind w:left="747"/>
        <w:rPr>
          <w:rFonts w:ascii="Noto Sans CJK JP Regular" w:eastAsia="Noto Sans CJK JP Regular" w:hint="eastAsia"/>
        </w:rPr>
      </w:pPr>
      <w:r>
        <w:rPr>
          <w:rFonts w:ascii="Noto Sans CJK JP Regular" w:eastAsia="Noto Sans CJK JP Regular" w:hint="eastAsia"/>
        </w:rPr>
        <w:t>（三）职业经纪类人才</w:t>
      </w:r>
    </w:p>
    <w:p>
      <w:pPr>
        <w:pStyle w:val="BodyText"/>
        <w:spacing w:line="560" w:lineRule="exact"/>
        <w:ind w:left="747"/>
      </w:pPr>
      <w:r>
        <w:rPr/>
        <w:t>领军人才：签约文体娱乐明星上年度收入累计超过 5000 万</w:t>
      </w:r>
    </w:p>
    <w:p>
      <w:pPr>
        <w:pStyle w:val="BodyText"/>
        <w:spacing w:line="196" w:lineRule="auto" w:before="27"/>
        <w:ind w:right="433"/>
        <w:jc w:val="both"/>
      </w:pPr>
      <w:r>
        <w:rPr>
          <w:spacing w:val="-4"/>
        </w:rPr>
        <w:t>元，或签约艺术家艺术作品年销售总额超过 </w:t>
      </w:r>
      <w:r>
        <w:rPr/>
        <w:t>1000</w:t>
      </w:r>
      <w:r>
        <w:rPr>
          <w:spacing w:val="-12"/>
        </w:rPr>
        <w:t> 万元的职业经纪人；</w:t>
      </w:r>
    </w:p>
    <w:p>
      <w:pPr>
        <w:pStyle w:val="BodyText"/>
        <w:spacing w:line="541" w:lineRule="exact"/>
        <w:ind w:left="747"/>
      </w:pPr>
      <w:r>
        <w:rPr/>
        <w:t>骨干人才：签约文体娱乐明星上年度收入累计超过 3000 万</w:t>
      </w:r>
    </w:p>
    <w:p>
      <w:pPr>
        <w:pStyle w:val="BodyText"/>
        <w:spacing w:line="196" w:lineRule="auto" w:before="27"/>
        <w:ind w:right="433"/>
        <w:jc w:val="both"/>
      </w:pPr>
      <w:r>
        <w:rPr>
          <w:spacing w:val="-16"/>
        </w:rPr>
        <w:t>元，或签约艺术家艺术作品年销售总额超过 </w:t>
      </w:r>
      <w:r>
        <w:rPr/>
        <w:t>500</w:t>
      </w:r>
      <w:r>
        <w:rPr>
          <w:spacing w:val="-13"/>
        </w:rPr>
        <w:t> 万元的职业经纪人；</w:t>
      </w:r>
    </w:p>
    <w:p>
      <w:pPr>
        <w:pStyle w:val="BodyText"/>
        <w:spacing w:line="540" w:lineRule="exact"/>
        <w:ind w:left="747"/>
      </w:pPr>
      <w:r>
        <w:rPr/>
        <w:t>优秀人才：签约文体娱乐明星上年度收入累计超过 1000 万</w:t>
      </w:r>
    </w:p>
    <w:p>
      <w:pPr>
        <w:pStyle w:val="BodyText"/>
        <w:spacing w:line="196" w:lineRule="auto" w:before="27"/>
        <w:ind w:right="433"/>
      </w:pPr>
      <w:r>
        <w:rPr>
          <w:spacing w:val="-16"/>
        </w:rPr>
        <w:t>元，或签约艺术家艺术作品年销售总额超过 </w:t>
      </w:r>
      <w:r>
        <w:rPr/>
        <w:t>300</w:t>
      </w:r>
      <w:r>
        <w:rPr>
          <w:spacing w:val="-13"/>
        </w:rPr>
        <w:t> 万元的职业经纪人；</w:t>
      </w:r>
    </w:p>
    <w:p>
      <w:pPr>
        <w:pStyle w:val="BodyText"/>
        <w:spacing w:line="540" w:lineRule="exact"/>
        <w:ind w:left="747"/>
      </w:pPr>
      <w:r>
        <w:rPr>
          <w:spacing w:val="-16"/>
        </w:rPr>
        <w:t>后备人才：签约文体娱乐明星上年度收入累计超过 </w:t>
      </w:r>
      <w:r>
        <w:rPr/>
        <w:t>500</w:t>
      </w:r>
      <w:r>
        <w:rPr>
          <w:spacing w:val="-21"/>
        </w:rPr>
        <w:t> 万元，</w:t>
      </w:r>
    </w:p>
    <w:p>
      <w:pPr>
        <w:pStyle w:val="BodyText"/>
        <w:spacing w:line="620" w:lineRule="exact"/>
        <w:ind w:left="0" w:right="207"/>
        <w:jc w:val="center"/>
      </w:pPr>
      <w:r>
        <w:rPr/>
        <w:t>或签约艺术家艺术作品年销售总额超过 100 万元的职业经纪人。</w:t>
      </w:r>
    </w:p>
    <w:p>
      <w:pPr>
        <w:pStyle w:val="BodyText"/>
        <w:spacing w:before="7"/>
        <w:ind w:left="0"/>
        <w:rPr>
          <w:sz w:val="23"/>
        </w:rPr>
      </w:pPr>
    </w:p>
    <w:p>
      <w:pPr>
        <w:pStyle w:val="BodyText"/>
        <w:tabs>
          <w:tab w:pos="1279" w:val="left" w:leader="none"/>
        </w:tabs>
        <w:ind w:left="0" w:right="325"/>
        <w:jc w:val="center"/>
        <w:rPr>
          <w:rFonts w:ascii="Droid Sans Fallback" w:eastAsia="Droid Sans Fallback" w:hint="eastAsia"/>
        </w:rPr>
      </w:pPr>
      <w:r>
        <w:rPr>
          <w:rFonts w:ascii="Droid Sans Fallback" w:eastAsia="Droid Sans Fallback" w:hint="eastAsia"/>
        </w:rPr>
        <w:t>第三章</w:t>
        <w:tab/>
        <w:t>扶持内容</w:t>
      </w:r>
    </w:p>
    <w:p>
      <w:pPr>
        <w:spacing w:after="0"/>
        <w:jc w:val="center"/>
        <w:rPr>
          <w:rFonts w:ascii="Droid Sans Fallback" w:eastAsia="Droid Sans Fallback" w:hint="eastAsia"/>
        </w:rPr>
        <w:sectPr>
          <w:pgSz w:w="11910" w:h="16840"/>
          <w:pgMar w:header="0" w:footer="975" w:top="1580" w:bottom="1160" w:left="1480" w:right="1040"/>
        </w:sectPr>
      </w:pPr>
    </w:p>
    <w:p>
      <w:pPr>
        <w:pStyle w:val="BodyText"/>
        <w:spacing w:before="11"/>
        <w:ind w:left="0"/>
        <w:rPr>
          <w:rFonts w:ascii="Droid Sans Fallback"/>
          <w:sz w:val="9"/>
        </w:rPr>
      </w:pPr>
    </w:p>
    <w:p>
      <w:pPr>
        <w:pStyle w:val="BodyText"/>
        <w:tabs>
          <w:tab w:pos="2028" w:val="left" w:leader="none"/>
        </w:tabs>
        <w:spacing w:line="521" w:lineRule="exact"/>
        <w:ind w:left="747"/>
      </w:pPr>
      <w:r>
        <w:rPr>
          <w:rFonts w:ascii="Droid Sans Fallback" w:eastAsia="Droid Sans Fallback" w:hint="eastAsia"/>
        </w:rPr>
        <w:t>第五条</w:t>
        <w:tab/>
      </w:r>
      <w:r>
        <w:rPr/>
        <w:t>对文化创意产业人才给予以下扶持：</w:t>
      </w:r>
    </w:p>
    <w:p>
      <w:pPr>
        <w:pStyle w:val="BodyText"/>
        <w:spacing w:line="196" w:lineRule="auto" w:before="27"/>
        <w:ind w:right="268" w:firstLine="638"/>
        <w:jc w:val="both"/>
      </w:pPr>
      <w:r>
        <w:rPr/>
        <w:t>（一</w:t>
      </w:r>
      <w:r>
        <w:rPr>
          <w:spacing w:val="-55"/>
        </w:rPr>
        <w:t>）</w:t>
      </w:r>
      <w:r>
        <w:rPr>
          <w:spacing w:val="-17"/>
        </w:rPr>
        <w:t>认定奖励。对经认定的领军、骨干、优秀、后备人才， </w:t>
      </w:r>
      <w:r>
        <w:rPr>
          <w:spacing w:val="-28"/>
        </w:rPr>
        <w:t>可分别获得 </w:t>
      </w:r>
      <w:r>
        <w:rPr/>
        <w:t>100</w:t>
      </w:r>
      <w:r>
        <w:rPr>
          <w:spacing w:val="-24"/>
        </w:rPr>
        <w:t> 万元、</w:t>
      </w:r>
      <w:r>
        <w:rPr/>
        <w:t>70</w:t>
      </w:r>
      <w:r>
        <w:rPr>
          <w:spacing w:val="-24"/>
        </w:rPr>
        <w:t> 万元、</w:t>
      </w:r>
      <w:r>
        <w:rPr/>
        <w:t>30</w:t>
      </w:r>
      <w:r>
        <w:rPr>
          <w:spacing w:val="-23"/>
        </w:rPr>
        <w:t> 万元、</w:t>
      </w:r>
      <w:r>
        <w:rPr/>
        <w:t>10</w:t>
      </w:r>
      <w:r>
        <w:rPr>
          <w:spacing w:val="-12"/>
        </w:rPr>
        <w:t> 万元奖励，奖励金</w:t>
      </w:r>
      <w:r>
        <w:rPr>
          <w:spacing w:val="-35"/>
        </w:rPr>
        <w:t>额分 </w:t>
      </w:r>
      <w:r>
        <w:rPr/>
        <w:t>5</w:t>
      </w:r>
      <w:r>
        <w:rPr>
          <w:spacing w:val="-13"/>
        </w:rPr>
        <w:t> 年等额拨付。</w:t>
      </w:r>
    </w:p>
    <w:p>
      <w:pPr>
        <w:pStyle w:val="BodyText"/>
        <w:spacing w:line="196" w:lineRule="auto" w:before="11"/>
        <w:ind w:right="433" w:firstLine="638"/>
        <w:jc w:val="both"/>
      </w:pPr>
      <w:r>
        <w:rPr/>
        <w:t>（二</w:t>
      </w:r>
      <w:r>
        <w:rPr>
          <w:spacing w:val="-29"/>
        </w:rPr>
        <w:t>）</w:t>
      </w:r>
      <w:r>
        <w:rPr>
          <w:spacing w:val="-8"/>
        </w:rPr>
        <w:t>贡献奖励。人才所在企业</w:t>
      </w:r>
      <w:r>
        <w:rPr/>
        <w:t>（机构</w:t>
      </w:r>
      <w:r>
        <w:rPr>
          <w:spacing w:val="-29"/>
        </w:rPr>
        <w:t>）</w:t>
      </w:r>
      <w:r>
        <w:rPr/>
        <w:t>从人才认定当年度</w:t>
      </w:r>
      <w:r>
        <w:rPr>
          <w:spacing w:val="-13"/>
        </w:rPr>
        <w:t>开始，新增营业收入较上一年度增加 </w:t>
      </w:r>
      <w:r>
        <w:rPr/>
        <w:t>200</w:t>
      </w:r>
      <w:r>
        <w:rPr>
          <w:spacing w:val="-16"/>
        </w:rPr>
        <w:t> 万元及以上、增长率达</w:t>
      </w:r>
    </w:p>
    <w:p>
      <w:pPr>
        <w:pStyle w:val="BodyText"/>
        <w:spacing w:line="199" w:lineRule="auto"/>
        <w:ind w:right="431"/>
        <w:jc w:val="both"/>
      </w:pPr>
      <w:r>
        <w:rPr>
          <w:spacing w:val="1"/>
          <w:w w:val="99"/>
          <w:position w:val="1"/>
        </w:rPr>
        <w:t>2</w:t>
      </w:r>
      <w:r>
        <w:rPr>
          <w:spacing w:val="8"/>
          <w:w w:val="99"/>
          <w:position w:val="1"/>
        </w:rPr>
        <w:t>0</w:t>
      </w:r>
      <w:r>
        <w:rPr>
          <w:spacing w:val="8"/>
          <w:w w:val="99"/>
        </w:rPr>
        <w:drawing>
          <wp:inline distT="0" distB="0" distL="0" distR="0">
            <wp:extent cx="85724" cy="155574"/>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position w:val="1"/>
        </w:rPr>
        <w:t>及以上，对任职的领军、骨干、优秀、后备人才分别给予企</w:t>
      </w:r>
      <w:r>
        <w:rPr/>
        <w:t> </w:t>
      </w:r>
      <w:r>
        <w:rPr>
          <w:spacing w:val="5"/>
          <w:w w:val="95"/>
        </w:rPr>
        <w:t>业</w:t>
      </w:r>
      <w:r>
        <w:rPr>
          <w:spacing w:val="7"/>
          <w:w w:val="95"/>
        </w:rPr>
        <w:t>（</w:t>
      </w:r>
      <w:r>
        <w:rPr>
          <w:spacing w:val="5"/>
          <w:w w:val="95"/>
        </w:rPr>
        <w:t>机构</w:t>
      </w:r>
      <w:r>
        <w:rPr>
          <w:spacing w:val="7"/>
          <w:w w:val="95"/>
        </w:rPr>
        <w:t>）</w:t>
      </w:r>
      <w:r>
        <w:rPr>
          <w:spacing w:val="5"/>
          <w:w w:val="95"/>
        </w:rPr>
        <w:t>形成</w:t>
      </w:r>
      <w:r>
        <w:rPr>
          <w:spacing w:val="7"/>
          <w:w w:val="95"/>
        </w:rPr>
        <w:t>新</w:t>
      </w:r>
      <w:r>
        <w:rPr>
          <w:spacing w:val="5"/>
          <w:w w:val="95"/>
        </w:rPr>
        <w:t>增营</w:t>
      </w:r>
      <w:r>
        <w:rPr>
          <w:spacing w:val="7"/>
          <w:w w:val="95"/>
        </w:rPr>
        <w:t>业</w:t>
      </w:r>
      <w:r>
        <w:rPr>
          <w:spacing w:val="5"/>
          <w:w w:val="95"/>
        </w:rPr>
        <w:t>收入</w:t>
      </w:r>
      <w:r>
        <w:rPr>
          <w:w w:val="95"/>
        </w:rPr>
        <w:t>的</w:t>
      </w:r>
      <w:r>
        <w:rPr>
          <w:spacing w:val="142"/>
          <w:w w:val="95"/>
        </w:rPr>
        <w:t> </w:t>
      </w:r>
      <w:r>
        <w:rPr>
          <w:spacing w:val="11"/>
          <w:w w:val="99"/>
        </w:rPr>
        <w:drawing>
          <wp:inline distT="0" distB="0" distL="0" distR="0">
            <wp:extent cx="85724" cy="155574"/>
            <wp:effectExtent l="0" t="0" r="0" b="0"/>
            <wp:docPr id="3" name="image1.png" descr=""/>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w w:val="95"/>
        </w:rPr>
        <w:t>、</w:t>
      </w:r>
      <w:r>
        <w:rPr>
          <w:spacing w:val="-137"/>
          <w:w w:val="95"/>
        </w:rPr>
        <w:t> </w:t>
      </w:r>
      <w:r>
        <w:rPr>
          <w:spacing w:val="11"/>
          <w:w w:val="99"/>
        </w:rPr>
        <w:drawing>
          <wp:inline distT="0" distB="0" distL="0" distR="0">
            <wp:extent cx="85724" cy="155574"/>
            <wp:effectExtent l="0" t="0" r="0" b="0"/>
            <wp:docPr id="5" name="image1.png" descr=""/>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w w:val="95"/>
        </w:rPr>
        <w:t>、</w:t>
      </w:r>
      <w:r>
        <w:rPr>
          <w:spacing w:val="-137"/>
          <w:w w:val="95"/>
        </w:rPr>
        <w:t> </w:t>
      </w:r>
      <w:r>
        <w:rPr>
          <w:spacing w:val="11"/>
          <w:w w:val="99"/>
        </w:rPr>
        <w:drawing>
          <wp:inline distT="0" distB="0" distL="0" distR="0">
            <wp:extent cx="85724" cy="155574"/>
            <wp:effectExtent l="0" t="0" r="0" b="0"/>
            <wp:docPr id="7" name="image1.png" descr=""/>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w w:val="95"/>
        </w:rPr>
        <w:t>、</w:t>
      </w:r>
      <w:r>
        <w:rPr>
          <w:spacing w:val="-137"/>
          <w:w w:val="95"/>
        </w:rPr>
        <w:t> </w:t>
      </w:r>
      <w:r>
        <w:rPr>
          <w:spacing w:val="11"/>
          <w:w w:val="99"/>
        </w:rPr>
        <w:drawing>
          <wp:inline distT="0" distB="0" distL="0" distR="0">
            <wp:extent cx="85724" cy="155574"/>
            <wp:effectExtent l="0" t="0" r="0" b="0"/>
            <wp:docPr id="9" name="image1.png" descr=""/>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rPr>
        <w:t>奖</w:t>
      </w:r>
      <w:r>
        <w:rPr>
          <w:spacing w:val="7"/>
        </w:rPr>
        <w:t>励</w:t>
      </w:r>
      <w:r>
        <w:rPr>
          <w:spacing w:val="5"/>
        </w:rPr>
        <w:t>，奖</w:t>
      </w:r>
      <w:r>
        <w:rPr>
          <w:spacing w:val="7"/>
        </w:rPr>
        <w:t>励</w:t>
      </w:r>
      <w:r>
        <w:rPr/>
        <w:t>金   </w:t>
      </w:r>
      <w:r>
        <w:rPr>
          <w:spacing w:val="-12"/>
        </w:rPr>
        <w:t>额最高不超过 </w:t>
      </w:r>
      <w:r>
        <w:rPr/>
        <w:t>100</w:t>
      </w:r>
      <w:r>
        <w:rPr>
          <w:spacing w:val="-19"/>
        </w:rPr>
        <w:t> 万元，奖励时限为人才认定当年开始 </w:t>
      </w:r>
      <w:r>
        <w:rPr/>
        <w:t>5</w:t>
      </w:r>
      <w:r>
        <w:rPr>
          <w:spacing w:val="-21"/>
        </w:rPr>
        <w:t> 年内有</w:t>
      </w:r>
      <w:r>
        <w:rPr>
          <w:spacing w:val="-13"/>
          <w:w w:val="95"/>
        </w:rPr>
        <w:t>效。如同一企业</w:t>
      </w:r>
      <w:r>
        <w:rPr>
          <w:w w:val="95"/>
        </w:rPr>
        <w:t>（机构</w:t>
      </w:r>
      <w:r>
        <w:rPr>
          <w:spacing w:val="-29"/>
          <w:w w:val="95"/>
        </w:rPr>
        <w:t>）</w:t>
      </w:r>
      <w:r>
        <w:rPr>
          <w:spacing w:val="-3"/>
          <w:w w:val="95"/>
        </w:rPr>
        <w:t>有多位同一层级人才的，奖励金额按认 </w:t>
      </w:r>
      <w:r>
        <w:rPr>
          <w:spacing w:val="-9"/>
          <w:w w:val="95"/>
        </w:rPr>
        <w:t>定人才数量平均分配；如同一企业</w:t>
      </w:r>
      <w:r>
        <w:rPr>
          <w:w w:val="95"/>
        </w:rPr>
        <w:t>（机构</w:t>
      </w:r>
      <w:r>
        <w:rPr>
          <w:spacing w:val="-39"/>
          <w:w w:val="95"/>
        </w:rPr>
        <w:t>）</w:t>
      </w:r>
      <w:r>
        <w:rPr>
          <w:w w:val="95"/>
        </w:rPr>
        <w:t>有多位不同层级人才 </w:t>
      </w:r>
      <w:r>
        <w:rPr>
          <w:spacing w:val="-11"/>
          <w:w w:val="95"/>
        </w:rPr>
        <w:t>的，按从高不重复的原则给予奖励，奖金只对最高层级认定人才 </w:t>
      </w:r>
      <w:r>
        <w:rPr>
          <w:spacing w:val="-11"/>
        </w:rPr>
        <w:t>平均发放。</w:t>
      </w:r>
    </w:p>
    <w:p>
      <w:pPr>
        <w:pStyle w:val="BodyText"/>
        <w:spacing w:line="196" w:lineRule="auto"/>
        <w:ind w:right="431" w:firstLine="638"/>
        <w:jc w:val="both"/>
      </w:pPr>
      <w:r>
        <w:rPr>
          <w:rFonts w:ascii="Droid Sans Fallback" w:eastAsia="Droid Sans Fallback" w:hint="eastAsia"/>
          <w:spacing w:val="14"/>
        </w:rPr>
        <w:t>第六条 </w:t>
      </w:r>
      <w:r>
        <w:rPr>
          <w:spacing w:val="-11"/>
        </w:rPr>
        <w:t>除以上认定人才外，每个文化创意产业园区运营机</w:t>
      </w:r>
      <w:r>
        <w:rPr>
          <w:spacing w:val="-12"/>
        </w:rPr>
        <w:t>构、重点文化企业副总以上级别高管参加国内外文化创意产业培</w:t>
      </w:r>
      <w:r>
        <w:rPr>
          <w:spacing w:val="-16"/>
          <w:w w:val="95"/>
        </w:rPr>
        <w:t>训课程或学习活动，可申请培训课程学费、活动参加费用和相关</w:t>
      </w:r>
    </w:p>
    <w:p>
      <w:pPr>
        <w:pStyle w:val="BodyText"/>
        <w:spacing w:line="196" w:lineRule="auto"/>
        <w:ind w:right="433"/>
        <w:jc w:val="both"/>
      </w:pPr>
      <w:r>
        <w:rPr>
          <w:spacing w:val="-11"/>
          <w:w w:val="95"/>
        </w:rPr>
        <w:t>差旅费补贴。每个文化创意产业园区运营机构、重点文化企业每 </w:t>
      </w:r>
      <w:r>
        <w:rPr>
          <w:spacing w:val="-21"/>
        </w:rPr>
        <w:t>年可推荐不超过 </w:t>
      </w:r>
      <w:r>
        <w:rPr/>
        <w:t>5</w:t>
      </w:r>
      <w:r>
        <w:rPr>
          <w:spacing w:val="-16"/>
        </w:rPr>
        <w:t> 名高管申请人才培养资助，补贴金额不超过实</w:t>
      </w:r>
    </w:p>
    <w:p>
      <w:pPr>
        <w:pStyle w:val="BodyText"/>
        <w:spacing w:line="543" w:lineRule="exact"/>
        <w:jc w:val="both"/>
      </w:pPr>
      <w:r>
        <w:rPr>
          <w:w w:val="95"/>
        </w:rPr>
        <w:t>际发生费用的</w:t>
      </w:r>
      <w:r>
        <w:rPr>
          <w:spacing w:val="21"/>
          <w:w w:val="95"/>
        </w:rPr>
        <w:t> </w:t>
      </w:r>
      <w:r>
        <w:rPr>
          <w:spacing w:val="11"/>
          <w:w w:val="99"/>
        </w:rPr>
        <w:drawing>
          <wp:inline distT="0" distB="0" distL="0" distR="0">
            <wp:extent cx="85724" cy="155574"/>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17"/>
        </w:rPr>
        <w:t>。</w:t>
      </w:r>
      <w:r>
        <w:rPr/>
        <w:t>国内培训每人可获不超过</w:t>
      </w:r>
      <w:r>
        <w:rPr>
          <w:spacing w:val="-80"/>
        </w:rPr>
        <w:t> </w:t>
      </w:r>
      <w:r>
        <w:rPr/>
        <w:t>1</w:t>
      </w:r>
      <w:r>
        <w:rPr>
          <w:spacing w:val="-81"/>
        </w:rPr>
        <w:t> </w:t>
      </w:r>
      <w:r>
        <w:rPr/>
        <w:t>万元补贴</w:t>
      </w:r>
      <w:r>
        <w:rPr>
          <w:spacing w:val="-17"/>
        </w:rPr>
        <w:t>，</w:t>
      </w:r>
      <w:r>
        <w:rPr/>
        <w:t>赴海</w:t>
      </w:r>
    </w:p>
    <w:p>
      <w:pPr>
        <w:pStyle w:val="BodyText"/>
        <w:spacing w:line="618" w:lineRule="exact"/>
        <w:jc w:val="both"/>
      </w:pPr>
      <w:r>
        <w:rPr/>
        <w:t>外参加培训每人可获不超过 2 万元补贴。</w:t>
      </w:r>
    </w:p>
    <w:p>
      <w:pPr>
        <w:pStyle w:val="BodyText"/>
        <w:spacing w:before="4"/>
        <w:ind w:left="0"/>
        <w:rPr>
          <w:sz w:val="23"/>
        </w:rPr>
      </w:pPr>
    </w:p>
    <w:p>
      <w:pPr>
        <w:pStyle w:val="BodyText"/>
        <w:tabs>
          <w:tab w:pos="1279" w:val="left" w:leader="none"/>
        </w:tabs>
        <w:ind w:left="0" w:right="327"/>
        <w:jc w:val="center"/>
        <w:rPr>
          <w:rFonts w:ascii="Droid Sans Fallback" w:eastAsia="Droid Sans Fallback" w:hint="eastAsia"/>
        </w:rPr>
      </w:pPr>
      <w:r>
        <w:rPr>
          <w:rFonts w:ascii="Droid Sans Fallback" w:eastAsia="Droid Sans Fallback" w:hint="eastAsia"/>
        </w:rPr>
        <w:t>第四章</w:t>
        <w:tab/>
        <w:t>申报及审批</w:t>
      </w:r>
    </w:p>
    <w:p>
      <w:pPr>
        <w:spacing w:after="0"/>
        <w:jc w:val="center"/>
        <w:rPr>
          <w:rFonts w:ascii="Droid Sans Fallback" w:eastAsia="Droid Sans Fallback" w:hint="eastAsia"/>
        </w:rPr>
        <w:sectPr>
          <w:pgSz w:w="11910" w:h="16840"/>
          <w:pgMar w:header="0" w:footer="975" w:top="1580" w:bottom="1160" w:left="1480" w:right="1040"/>
        </w:sectPr>
      </w:pPr>
    </w:p>
    <w:p>
      <w:pPr>
        <w:pStyle w:val="BodyText"/>
        <w:spacing w:before="11"/>
        <w:ind w:left="0"/>
        <w:rPr>
          <w:rFonts w:ascii="Droid Sans Fallback"/>
          <w:sz w:val="9"/>
        </w:rPr>
      </w:pPr>
    </w:p>
    <w:p>
      <w:pPr>
        <w:pStyle w:val="BodyText"/>
        <w:tabs>
          <w:tab w:pos="2028" w:val="left" w:leader="none"/>
        </w:tabs>
        <w:spacing w:line="521" w:lineRule="exact"/>
        <w:ind w:left="747"/>
      </w:pPr>
      <w:r>
        <w:rPr>
          <w:rFonts w:ascii="Droid Sans Fallback" w:eastAsia="Droid Sans Fallback" w:hint="eastAsia"/>
        </w:rPr>
        <w:t>第七条</w:t>
        <w:tab/>
      </w:r>
      <w:r>
        <w:rPr/>
        <w:t>申请人以所在单位为申报主体</w:t>
      </w:r>
      <w:r>
        <w:rPr>
          <w:spacing w:val="-115"/>
        </w:rPr>
        <w:t>，</w:t>
      </w:r>
      <w:r>
        <w:rPr/>
        <w:t>向区文化产业发展</w:t>
      </w:r>
    </w:p>
    <w:p>
      <w:pPr>
        <w:pStyle w:val="BodyText"/>
        <w:spacing w:line="560" w:lineRule="exact"/>
      </w:pPr>
      <w:r>
        <w:rPr>
          <w:w w:val="99"/>
        </w:rPr>
        <w:t>办公室（以下简称</w:t>
      </w:r>
      <w:r>
        <w:rPr>
          <w:spacing w:val="2"/>
          <w:w w:val="209"/>
        </w:rPr>
        <w:t>“</w:t>
      </w:r>
      <w:r>
        <w:rPr>
          <w:w w:val="99"/>
        </w:rPr>
        <w:t>区文产办</w:t>
      </w:r>
      <w:r>
        <w:rPr>
          <w:spacing w:val="-159"/>
          <w:w w:val="209"/>
        </w:rPr>
        <w:t>”</w:t>
      </w:r>
      <w:r>
        <w:rPr>
          <w:w w:val="99"/>
        </w:rPr>
        <w:t>）提交以下材料：</w:t>
      </w:r>
    </w:p>
    <w:p>
      <w:pPr>
        <w:pStyle w:val="BodyText"/>
        <w:spacing w:line="559" w:lineRule="exact"/>
        <w:ind w:left="747"/>
      </w:pPr>
      <w:r>
        <w:rPr/>
        <w:t>（一）龙岗区文化创意产业人才计划申请表；</w:t>
      </w:r>
    </w:p>
    <w:p>
      <w:pPr>
        <w:pStyle w:val="BodyText"/>
        <w:spacing w:line="199" w:lineRule="auto" w:before="21"/>
        <w:ind w:right="431" w:firstLine="638"/>
        <w:jc w:val="both"/>
      </w:pPr>
      <w:r>
        <w:rPr/>
        <w:t>（二</w:t>
      </w:r>
      <w:r>
        <w:rPr>
          <w:spacing w:val="-19"/>
        </w:rPr>
        <w:t>）</w:t>
      </w:r>
      <w:r>
        <w:rPr>
          <w:spacing w:val="-7"/>
        </w:rPr>
        <w:t>基础材料：申请人身份证、劳动</w:t>
      </w:r>
      <w:r>
        <w:rPr/>
        <w:t>（聘用</w:t>
      </w:r>
      <w:r>
        <w:rPr>
          <w:spacing w:val="-19"/>
        </w:rPr>
        <w:t>）</w:t>
      </w:r>
      <w:r>
        <w:rPr>
          <w:spacing w:val="-5"/>
        </w:rPr>
        <w:t>合同、社保</w:t>
      </w:r>
      <w:r>
        <w:rPr>
          <w:spacing w:val="-13"/>
          <w:w w:val="95"/>
        </w:rPr>
        <w:t>证明、任职单位营业执照、税务登记证，以及上年度企业纳税证 </w:t>
      </w:r>
      <w:r>
        <w:rPr>
          <w:spacing w:val="-13"/>
        </w:rPr>
        <w:t>明和个人所得税完税证明；</w:t>
      </w:r>
    </w:p>
    <w:p>
      <w:pPr>
        <w:pStyle w:val="BodyText"/>
        <w:spacing w:line="199" w:lineRule="auto"/>
        <w:ind w:right="429" w:firstLine="638"/>
      </w:pPr>
      <w:r>
        <w:rPr/>
        <w:t>（三</w:t>
      </w:r>
      <w:r>
        <w:rPr>
          <w:spacing w:val="-22"/>
        </w:rPr>
        <w:t>）</w:t>
      </w:r>
      <w:r>
        <w:rPr>
          <w:spacing w:val="-9"/>
        </w:rPr>
        <w:t>认定材料：学历证书、获奖证书、专利证书、资质认定证书、其他有关材料；</w:t>
      </w:r>
    </w:p>
    <w:p>
      <w:pPr>
        <w:pStyle w:val="BodyText"/>
        <w:spacing w:line="533" w:lineRule="exact"/>
        <w:ind w:left="747"/>
      </w:pPr>
      <w:r>
        <w:rPr/>
        <w:t>（四）其他协助人才认定有关资料。</w:t>
      </w:r>
    </w:p>
    <w:p>
      <w:pPr>
        <w:pStyle w:val="BodyText"/>
        <w:spacing w:line="560" w:lineRule="exact"/>
        <w:ind w:left="747"/>
      </w:pPr>
      <w:r>
        <w:rPr/>
        <w:t>上述材料均提交复印件一式三份，同时核验原件。</w:t>
      </w:r>
    </w:p>
    <w:p>
      <w:pPr>
        <w:pStyle w:val="BodyText"/>
        <w:tabs>
          <w:tab w:pos="2028" w:val="left" w:leader="none"/>
        </w:tabs>
        <w:spacing w:line="196" w:lineRule="auto" w:before="17"/>
        <w:ind w:right="433" w:firstLine="638"/>
      </w:pPr>
      <w:r>
        <w:rPr>
          <w:rFonts w:ascii="Droid Sans Fallback" w:eastAsia="Droid Sans Fallback" w:hint="eastAsia"/>
        </w:rPr>
        <w:t>第八条</w:t>
        <w:tab/>
      </w:r>
      <w:r>
        <w:rPr/>
        <w:t>本办法规定的各类奖励</w:t>
      </w:r>
      <w:r>
        <w:rPr>
          <w:spacing w:val="-58"/>
        </w:rPr>
        <w:t>、</w:t>
      </w:r>
      <w:r>
        <w:rPr/>
        <w:t>补贴的申请</w:t>
      </w:r>
      <w:r>
        <w:rPr>
          <w:spacing w:val="-58"/>
        </w:rPr>
        <w:t>、</w:t>
      </w:r>
      <w:r>
        <w:rPr/>
        <w:t>审批及拨付按照下列程序进行：</w:t>
      </w:r>
    </w:p>
    <w:p>
      <w:pPr>
        <w:pStyle w:val="BodyText"/>
        <w:spacing w:line="199" w:lineRule="auto" w:before="1"/>
        <w:ind w:right="274" w:firstLine="638"/>
        <w:jc w:val="both"/>
      </w:pPr>
      <w:r>
        <w:rPr>
          <w:w w:val="95"/>
        </w:rPr>
        <w:t>（一</w:t>
      </w:r>
      <w:r>
        <w:rPr>
          <w:spacing w:val="-91"/>
          <w:w w:val="95"/>
        </w:rPr>
        <w:t>）</w:t>
      </w:r>
      <w:r>
        <w:rPr>
          <w:spacing w:val="-15"/>
          <w:w w:val="95"/>
        </w:rPr>
        <w:t>申请。申请人提出资助申请，所在单位核实申请材料， </w:t>
      </w:r>
      <w:r>
        <w:rPr>
          <w:spacing w:val="-20"/>
        </w:rPr>
        <w:t>在有关申请表中写明推荐意见并加盖单位公章。单位核实人须在申请材料复印件上签名，同时加盖单位公章。</w:t>
      </w:r>
    </w:p>
    <w:p>
      <w:pPr>
        <w:pStyle w:val="BodyText"/>
        <w:spacing w:line="199" w:lineRule="auto"/>
        <w:ind w:right="433" w:firstLine="638"/>
      </w:pPr>
      <w:r>
        <w:rPr/>
        <w:t>（二</w:t>
      </w:r>
      <w:r>
        <w:rPr>
          <w:spacing w:val="-29"/>
        </w:rPr>
        <w:t>）</w:t>
      </w:r>
      <w:r>
        <w:rPr>
          <w:spacing w:val="-10"/>
        </w:rPr>
        <w:t>审核。区文产办进行审核，提出资助意见，形成资助清单。必要时可组织第三方审计、专家评审或现场考察。</w:t>
      </w:r>
    </w:p>
    <w:p>
      <w:pPr>
        <w:pStyle w:val="BodyText"/>
        <w:spacing w:line="196" w:lineRule="auto"/>
        <w:ind w:right="112" w:firstLine="638"/>
      </w:pPr>
      <w:r>
        <w:rPr/>
        <w:t>（三</w:t>
      </w:r>
      <w:r>
        <w:rPr>
          <w:spacing w:val="-39"/>
        </w:rPr>
        <w:t>）</w:t>
      </w:r>
      <w:r>
        <w:rPr>
          <w:spacing w:val="-9"/>
        </w:rPr>
        <w:t>审定。区文产办审议通过后，将资助清单与会议纪要 </w:t>
      </w:r>
      <w:r>
        <w:rPr>
          <w:spacing w:val="-14"/>
          <w:w w:val="95"/>
        </w:rPr>
        <w:t>报区人才办汇总，由区人才办统一提请区人才工作联席会议审定。</w:t>
      </w:r>
    </w:p>
    <w:p>
      <w:pPr>
        <w:pStyle w:val="BodyText"/>
        <w:spacing w:line="196" w:lineRule="auto"/>
        <w:ind w:right="433" w:firstLine="638"/>
      </w:pPr>
      <w:r>
        <w:rPr/>
        <w:t>（四</w:t>
      </w:r>
      <w:r>
        <w:rPr>
          <w:spacing w:val="-39"/>
        </w:rPr>
        <w:t>）</w:t>
      </w:r>
      <w:r>
        <w:rPr>
          <w:spacing w:val="-8"/>
        </w:rPr>
        <w:t>公示。区人才工作联席会议审定通过后，区人才办将资助清单进行公示，公示期为 5</w:t>
      </w:r>
      <w:r>
        <w:rPr>
          <w:spacing w:val="-1"/>
        </w:rPr>
        <w:t> 个工作日。</w:t>
      </w:r>
    </w:p>
    <w:p>
      <w:pPr>
        <w:pStyle w:val="BodyText"/>
        <w:spacing w:line="199" w:lineRule="auto"/>
        <w:ind w:right="431" w:firstLine="638"/>
      </w:pPr>
      <w:r>
        <w:rPr>
          <w:w w:val="95"/>
        </w:rPr>
        <w:t>（五</w:t>
      </w:r>
      <w:r>
        <w:rPr>
          <w:spacing w:val="-39"/>
          <w:w w:val="95"/>
        </w:rPr>
        <w:t>）</w:t>
      </w:r>
      <w:r>
        <w:rPr>
          <w:spacing w:val="-9"/>
          <w:w w:val="95"/>
        </w:rPr>
        <w:t>资金拨付。公示期满无异议的，区人才办将区人才工 </w:t>
      </w:r>
      <w:r>
        <w:rPr>
          <w:spacing w:val="-15"/>
        </w:rPr>
        <w:t>作联席会议纪要和资金分配方案报区财政局，区财政局根据会议</w:t>
      </w:r>
    </w:p>
    <w:p>
      <w:pPr>
        <w:spacing w:after="0" w:line="199" w:lineRule="auto"/>
        <w:sectPr>
          <w:footerReference w:type="default" r:id="rId7"/>
          <w:pgSz w:w="11910" w:h="16840"/>
          <w:pgMar w:footer="975" w:header="0" w:top="1580" w:bottom="1160" w:left="1480" w:right="1040"/>
          <w:pgNumType w:start="10"/>
        </w:sectPr>
      </w:pPr>
    </w:p>
    <w:p>
      <w:pPr>
        <w:pStyle w:val="BodyText"/>
        <w:spacing w:before="7"/>
        <w:ind w:left="0"/>
        <w:rPr>
          <w:sz w:val="8"/>
        </w:rPr>
      </w:pPr>
    </w:p>
    <w:p>
      <w:pPr>
        <w:pStyle w:val="BodyText"/>
        <w:spacing w:line="521" w:lineRule="exact"/>
      </w:pPr>
      <w:r>
        <w:rPr/>
        <w:t>纪要精神和分配方案内容向区文产办拨付资金，由区文产办向申</w:t>
      </w:r>
    </w:p>
    <w:p>
      <w:pPr>
        <w:pStyle w:val="BodyText"/>
        <w:spacing w:line="560" w:lineRule="exact"/>
      </w:pPr>
      <w:r>
        <w:rPr/>
        <w:t>请人所在单位支付资金。</w:t>
      </w:r>
    </w:p>
    <w:p>
      <w:pPr>
        <w:pStyle w:val="BodyText"/>
        <w:spacing w:line="199" w:lineRule="auto" w:before="21"/>
        <w:ind w:right="433" w:firstLine="638"/>
        <w:jc w:val="both"/>
      </w:pPr>
      <w:r>
        <w:rPr>
          <w:spacing w:val="-12"/>
        </w:rPr>
        <w:t>公示有异议的，由区文产办重审。重审后证明异议内容属实</w:t>
      </w:r>
      <w:r>
        <w:rPr>
          <w:spacing w:val="-13"/>
        </w:rPr>
        <w:t>的，不予资助，并将处理情况报区人才办备案；重审后证明异议内容不属实的，按正常程序予以资助。</w:t>
      </w:r>
    </w:p>
    <w:p>
      <w:pPr>
        <w:pStyle w:val="BodyText"/>
        <w:spacing w:before="15"/>
        <w:ind w:left="0"/>
        <w:rPr>
          <w:sz w:val="24"/>
        </w:rPr>
      </w:pPr>
    </w:p>
    <w:p>
      <w:pPr>
        <w:pStyle w:val="BodyText"/>
        <w:tabs>
          <w:tab w:pos="4368" w:val="left" w:leader="none"/>
        </w:tabs>
        <w:ind w:left="3089"/>
        <w:rPr>
          <w:rFonts w:ascii="Droid Sans Fallback" w:eastAsia="Droid Sans Fallback" w:hint="eastAsia"/>
        </w:rPr>
      </w:pPr>
      <w:r>
        <w:rPr>
          <w:rFonts w:ascii="Droid Sans Fallback" w:eastAsia="Droid Sans Fallback" w:hint="eastAsia"/>
        </w:rPr>
        <w:t>第五章</w:t>
        <w:tab/>
        <w:t>管理和监督</w:t>
      </w:r>
    </w:p>
    <w:p>
      <w:pPr>
        <w:pStyle w:val="BodyText"/>
        <w:spacing w:before="6"/>
        <w:ind w:left="0"/>
        <w:rPr>
          <w:rFonts w:ascii="Droid Sans Fallback"/>
          <w:sz w:val="30"/>
        </w:rPr>
      </w:pPr>
    </w:p>
    <w:p>
      <w:pPr>
        <w:pStyle w:val="BodyText"/>
        <w:tabs>
          <w:tab w:pos="1390" w:val="left" w:leader="none"/>
          <w:tab w:pos="2028" w:val="left" w:leader="none"/>
        </w:tabs>
        <w:spacing w:line="199" w:lineRule="auto"/>
        <w:ind w:right="274" w:firstLine="638"/>
        <w:jc w:val="right"/>
      </w:pPr>
      <w:r>
        <w:rPr>
          <w:rFonts w:ascii="Droid Sans Fallback" w:eastAsia="Droid Sans Fallback" w:hint="eastAsia"/>
        </w:rPr>
        <w:t>第九条</w:t>
        <w:tab/>
      </w:r>
      <w:r>
        <w:rPr>
          <w:w w:val="95"/>
        </w:rPr>
        <w:t>经扶持的龙岗区文化创意产业人才</w:t>
      </w:r>
      <w:r>
        <w:rPr>
          <w:spacing w:val="-115"/>
          <w:w w:val="95"/>
        </w:rPr>
        <w:t>，</w:t>
      </w:r>
      <w:r>
        <w:rPr>
          <w:w w:val="95"/>
        </w:rPr>
        <w:t>需至少在龙岗 区工作满五年或以上</w:t>
      </w:r>
      <w:r>
        <w:rPr>
          <w:spacing w:val="-115"/>
          <w:w w:val="95"/>
        </w:rPr>
        <w:t>，</w:t>
      </w:r>
      <w:r>
        <w:rPr>
          <w:w w:val="95"/>
        </w:rPr>
        <w:t>未满足工作年限离职或在此期间发生不符 合文化创意产业人才基本条件</w:t>
      </w:r>
      <w:r>
        <w:rPr>
          <w:spacing w:val="-29"/>
          <w:w w:val="95"/>
        </w:rPr>
        <w:t>第</w:t>
      </w:r>
      <w:r>
        <w:rPr>
          <w:w w:val="95"/>
        </w:rPr>
        <w:t>（一</w:t>
      </w:r>
      <w:r>
        <w:rPr>
          <w:spacing w:val="-159"/>
          <w:w w:val="95"/>
        </w:rPr>
        <w:t>）</w:t>
      </w:r>
      <w:r>
        <w:rPr>
          <w:spacing w:val="-190"/>
          <w:w w:val="95"/>
        </w:rPr>
        <w:t>、</w:t>
      </w:r>
      <w:r>
        <w:rPr>
          <w:w w:val="95"/>
        </w:rPr>
        <w:t>（二</w:t>
      </w:r>
      <w:r>
        <w:rPr>
          <w:spacing w:val="-29"/>
          <w:w w:val="95"/>
        </w:rPr>
        <w:t>）</w:t>
      </w:r>
      <w:r>
        <w:rPr>
          <w:w w:val="95"/>
        </w:rPr>
        <w:t>点要求情况的</w:t>
      </w:r>
      <w:r>
        <w:rPr>
          <w:spacing w:val="-29"/>
          <w:w w:val="95"/>
        </w:rPr>
        <w:t>，</w:t>
      </w:r>
      <w:r>
        <w:rPr>
          <w:w w:val="95"/>
        </w:rPr>
        <w:t>由 区文产办提出意见</w:t>
      </w:r>
      <w:r>
        <w:rPr>
          <w:spacing w:val="-137"/>
          <w:w w:val="95"/>
        </w:rPr>
        <w:t>，</w:t>
      </w:r>
      <w:r>
        <w:rPr>
          <w:w w:val="95"/>
        </w:rPr>
        <w:t>取消其享受的相关待遇</w:t>
      </w:r>
      <w:r>
        <w:rPr>
          <w:spacing w:val="-137"/>
          <w:w w:val="95"/>
        </w:rPr>
        <w:t>，</w:t>
      </w:r>
      <w:r>
        <w:rPr>
          <w:w w:val="95"/>
        </w:rPr>
        <w:t>不再发放补贴资金。 </w:t>
      </w:r>
      <w:r>
        <w:rPr>
          <w:rFonts w:ascii="Droid Sans Fallback" w:eastAsia="Droid Sans Fallback" w:hint="eastAsia"/>
        </w:rPr>
        <w:t>第十条</w:t>
        <w:tab/>
      </w:r>
      <w:r>
        <w:rPr>
          <w:w w:val="95"/>
        </w:rPr>
        <w:t>文化创意人才扶持资金必须专款专用</w:t>
      </w:r>
      <w:r>
        <w:rPr>
          <w:spacing w:val="-115"/>
          <w:w w:val="95"/>
        </w:rPr>
        <w:t>，</w:t>
      </w:r>
      <w:r>
        <w:rPr>
          <w:w w:val="95"/>
        </w:rPr>
        <w:t>人才所在单</w:t>
      </w:r>
    </w:p>
    <w:p>
      <w:pPr>
        <w:pStyle w:val="BodyText"/>
        <w:spacing w:line="196" w:lineRule="auto"/>
        <w:ind w:right="431"/>
      </w:pPr>
      <w:r>
        <w:rPr>
          <w:spacing w:val="6"/>
          <w:w w:val="95"/>
        </w:rPr>
        <w:t>位在资金到账后五个工作日内须将人才奖励或补贴资金直接发 </w:t>
      </w:r>
      <w:r>
        <w:rPr>
          <w:spacing w:val="6"/>
        </w:rPr>
        <w:t>放至人才的个人银行账户，任何单位和个人不得克扣或挪用。</w:t>
      </w:r>
    </w:p>
    <w:p>
      <w:pPr>
        <w:pStyle w:val="BodyText"/>
        <w:spacing w:line="199" w:lineRule="auto"/>
        <w:ind w:right="431" w:firstLine="638"/>
        <w:jc w:val="both"/>
      </w:pPr>
      <w:r>
        <w:rPr>
          <w:rFonts w:ascii="Droid Sans Fallback" w:eastAsia="Droid Sans Fallback" w:hint="eastAsia"/>
          <w:spacing w:val="11"/>
        </w:rPr>
        <w:t>第十一条 </w:t>
      </w:r>
      <w:r>
        <w:rPr>
          <w:spacing w:val="-7"/>
        </w:rPr>
        <w:t>文化创意人才管理实行重大事项报告制度，人才</w:t>
      </w:r>
      <w:r>
        <w:rPr>
          <w:spacing w:val="-14"/>
        </w:rPr>
        <w:t>所在单位如发生注册地变更、法人代表变更、人才职位变动以及</w:t>
      </w:r>
      <w:r>
        <w:rPr>
          <w:spacing w:val="-13"/>
          <w:w w:val="95"/>
        </w:rPr>
        <w:t>经济、法律纠纷等重大事项，人才所在单位应于事项发生之日起 </w:t>
      </w:r>
      <w:r>
        <w:rPr>
          <w:spacing w:val="-13"/>
        </w:rPr>
        <w:t>十五个工作日内向区文产办报告。</w:t>
      </w:r>
    </w:p>
    <w:p>
      <w:pPr>
        <w:pStyle w:val="BodyText"/>
        <w:spacing w:line="199" w:lineRule="auto"/>
        <w:ind w:right="431" w:firstLine="638"/>
        <w:jc w:val="both"/>
      </w:pPr>
      <w:r>
        <w:rPr>
          <w:rFonts w:ascii="Droid Sans Fallback" w:hAnsi="Droid Sans Fallback" w:eastAsia="Droid Sans Fallback" w:hint="eastAsia"/>
          <w:spacing w:val="12"/>
        </w:rPr>
        <w:t>第十二条 </w:t>
      </w:r>
      <w:r>
        <w:rPr>
          <w:spacing w:val="-8"/>
        </w:rPr>
        <w:t>申请人或所在单位如有弄虚作假，骗取扶持资金</w:t>
      </w:r>
      <w:r>
        <w:rPr>
          <w:spacing w:val="-25"/>
        </w:rPr>
        <w:t>等情形，由区文产办追回已拨付的支持资金，并将其录入诚信</w:t>
      </w:r>
      <w:r>
        <w:rPr>
          <w:w w:val="190"/>
        </w:rPr>
        <w:t>“</w:t>
      </w:r>
      <w:r>
        <w:rPr/>
        <w:t>黑</w:t>
      </w:r>
      <w:r>
        <w:rPr>
          <w:spacing w:val="2"/>
          <w:w w:val="99"/>
        </w:rPr>
        <w:t>名单</w:t>
      </w:r>
      <w:r>
        <w:rPr>
          <w:spacing w:val="-159"/>
          <w:w w:val="209"/>
        </w:rPr>
        <w:t>”</w:t>
      </w:r>
      <w:r>
        <w:rPr>
          <w:spacing w:val="1"/>
          <w:w w:val="99"/>
        </w:rPr>
        <w:t>，五年内不再受理申请人或所在单位在龙岗区的扶持资金</w:t>
      </w:r>
      <w:r>
        <w:rPr>
          <w:spacing w:val="1"/>
        </w:rPr>
        <w:t>申请。</w:t>
      </w:r>
    </w:p>
    <w:p>
      <w:pPr>
        <w:spacing w:after="0" w:line="199" w:lineRule="auto"/>
        <w:jc w:val="both"/>
        <w:sectPr>
          <w:pgSz w:w="11910" w:h="16840"/>
          <w:pgMar w:header="0" w:footer="975" w:top="1580" w:bottom="1160" w:left="1480" w:right="1040"/>
        </w:sectPr>
      </w:pPr>
    </w:p>
    <w:p>
      <w:pPr>
        <w:pStyle w:val="BodyText"/>
        <w:ind w:left="0"/>
        <w:rPr>
          <w:sz w:val="20"/>
        </w:rPr>
      </w:pPr>
    </w:p>
    <w:p>
      <w:pPr>
        <w:pStyle w:val="BodyText"/>
        <w:spacing w:before="17"/>
        <w:ind w:left="0"/>
        <w:rPr>
          <w:sz w:val="14"/>
        </w:rPr>
      </w:pPr>
    </w:p>
    <w:p>
      <w:pPr>
        <w:pStyle w:val="BodyText"/>
        <w:tabs>
          <w:tab w:pos="4848" w:val="left" w:leader="none"/>
        </w:tabs>
        <w:spacing w:line="545" w:lineRule="exact"/>
        <w:ind w:left="3569"/>
        <w:rPr>
          <w:rFonts w:ascii="Droid Sans Fallback" w:eastAsia="Droid Sans Fallback" w:hint="eastAsia"/>
        </w:rPr>
      </w:pPr>
      <w:r>
        <w:rPr>
          <w:rFonts w:ascii="Droid Sans Fallback" w:eastAsia="Droid Sans Fallback" w:hint="eastAsia"/>
        </w:rPr>
        <w:t>第六章</w:t>
        <w:tab/>
        <w:t>附则</w:t>
      </w:r>
    </w:p>
    <w:p>
      <w:pPr>
        <w:pStyle w:val="BodyText"/>
        <w:spacing w:before="3"/>
        <w:ind w:left="0"/>
        <w:rPr>
          <w:rFonts w:ascii="Droid Sans Fallback"/>
          <w:sz w:val="30"/>
        </w:rPr>
      </w:pPr>
    </w:p>
    <w:p>
      <w:pPr>
        <w:pStyle w:val="BodyText"/>
        <w:spacing w:line="199" w:lineRule="auto"/>
        <w:ind w:right="431" w:firstLine="638"/>
        <w:jc w:val="both"/>
      </w:pPr>
      <w:r>
        <w:rPr>
          <w:rFonts w:ascii="Droid Sans Fallback" w:hAnsi="Droid Sans Fallback" w:eastAsia="Droid Sans Fallback" w:hint="eastAsia"/>
          <w:spacing w:val="12"/>
        </w:rPr>
        <w:t>第十三条 </w:t>
      </w:r>
      <w:r>
        <w:rPr>
          <w:spacing w:val="-11"/>
        </w:rPr>
        <w:t>文化创意产业人才可依据《关于促进人才优先发</w:t>
      </w:r>
      <w:r>
        <w:rPr>
          <w:spacing w:val="-17"/>
        </w:rPr>
        <w:t>展实施“深龙英才计划”的意见》，享受人才安居、子女入学、 </w:t>
      </w:r>
      <w:r>
        <w:rPr>
          <w:spacing w:val="-17"/>
          <w:w w:val="105"/>
        </w:rPr>
        <w:t>医疗保健、交通出行等有关政策待遇。</w:t>
      </w:r>
    </w:p>
    <w:p>
      <w:pPr>
        <w:pStyle w:val="BodyText"/>
        <w:spacing w:line="199" w:lineRule="auto"/>
        <w:ind w:right="433" w:firstLine="638"/>
        <w:jc w:val="both"/>
      </w:pPr>
      <w:r>
        <w:rPr>
          <w:rFonts w:ascii="Droid Sans Fallback" w:hAnsi="Droid Sans Fallback" w:eastAsia="Droid Sans Fallback" w:hint="eastAsia"/>
          <w:spacing w:val="11"/>
        </w:rPr>
        <w:t>第十四条 </w:t>
      </w:r>
      <w:r>
        <w:rPr>
          <w:spacing w:val="-7"/>
        </w:rPr>
        <w:t>本办法与我区其他人才政策有重复、交叉的，按</w:t>
      </w:r>
      <w:r>
        <w:rPr>
          <w:spacing w:val="-7"/>
          <w:w w:val="105"/>
        </w:rPr>
        <w:t>照</w:t>
      </w:r>
      <w:r>
        <w:rPr>
          <w:spacing w:val="-7"/>
          <w:w w:val="190"/>
        </w:rPr>
        <w:t>“</w:t>
      </w:r>
      <w:r>
        <w:rPr>
          <w:spacing w:val="-7"/>
          <w:w w:val="105"/>
        </w:rPr>
        <w:t>从优、从高、不重复</w:t>
      </w:r>
      <w:r>
        <w:rPr>
          <w:spacing w:val="-7"/>
          <w:w w:val="190"/>
        </w:rPr>
        <w:t>”</w:t>
      </w:r>
      <w:r>
        <w:rPr>
          <w:spacing w:val="-7"/>
          <w:w w:val="105"/>
        </w:rPr>
        <w:t>原则执行。</w:t>
      </w:r>
    </w:p>
    <w:p>
      <w:pPr>
        <w:pStyle w:val="BodyText"/>
        <w:spacing w:line="196" w:lineRule="auto"/>
        <w:ind w:right="433" w:firstLine="638"/>
        <w:jc w:val="both"/>
      </w:pPr>
      <w:r>
        <w:rPr>
          <w:rFonts w:ascii="Droid Sans Fallback" w:eastAsia="Droid Sans Fallback" w:hint="eastAsia"/>
        </w:rPr>
        <w:t>第十五条 </w:t>
      </w:r>
      <w:r>
        <w:rPr/>
        <w:t>本办法由深圳市龙岗区文化产业发展办公室负责解释。</w:t>
      </w:r>
    </w:p>
    <w:p>
      <w:pPr>
        <w:pStyle w:val="BodyText"/>
        <w:tabs>
          <w:tab w:pos="2347" w:val="left" w:leader="none"/>
        </w:tabs>
        <w:spacing w:line="601" w:lineRule="exact"/>
        <w:ind w:left="747"/>
      </w:pPr>
      <w:r>
        <w:rPr>
          <w:rFonts w:ascii="Droid Sans Fallback" w:eastAsia="Droid Sans Fallback" w:hint="eastAsia"/>
        </w:rPr>
        <w:t>第十六条</w:t>
        <w:tab/>
      </w:r>
      <w:r>
        <w:rPr/>
        <w:t>本办法自</w:t>
      </w:r>
      <w:r>
        <w:rPr>
          <w:spacing w:val="-96"/>
        </w:rPr>
        <w:t> </w:t>
      </w:r>
      <w:r>
        <w:rPr/>
        <w:t>2016</w:t>
      </w:r>
      <w:r>
        <w:rPr>
          <w:spacing w:val="-93"/>
        </w:rPr>
        <w:t> </w:t>
      </w:r>
      <w:r>
        <w:rPr/>
        <w:t>年</w:t>
      </w:r>
      <w:r>
        <w:rPr>
          <w:spacing w:val="-96"/>
        </w:rPr>
        <w:t> </w:t>
      </w:r>
      <w:r>
        <w:rPr/>
        <w:t>11</w:t>
      </w:r>
      <w:r>
        <w:rPr>
          <w:spacing w:val="-95"/>
        </w:rPr>
        <w:t> </w:t>
      </w:r>
      <w:r>
        <w:rPr/>
        <w:t>月</w:t>
      </w:r>
      <w:r>
        <w:rPr>
          <w:spacing w:val="-96"/>
        </w:rPr>
        <w:t> </w:t>
      </w:r>
      <w:r>
        <w:rPr/>
        <w:t>1</w:t>
      </w:r>
      <w:r>
        <w:rPr>
          <w:spacing w:val="-95"/>
        </w:rPr>
        <w:t> </w:t>
      </w:r>
      <w:r>
        <w:rPr/>
        <w:t>日起施行</w:t>
      </w:r>
      <w:r>
        <w:rPr>
          <w:spacing w:val="-161"/>
        </w:rPr>
        <w:t>，</w:t>
      </w:r>
      <w:r>
        <w:rPr/>
        <w:t>有效期</w:t>
      </w:r>
      <w:r>
        <w:rPr>
          <w:spacing w:val="-96"/>
        </w:rPr>
        <w:t> </w:t>
      </w:r>
      <w:r>
        <w:rPr/>
        <w:t>5</w:t>
      </w:r>
      <w:r>
        <w:rPr>
          <w:spacing w:val="-93"/>
        </w:rPr>
        <w:t> </w:t>
      </w:r>
      <w:r>
        <w:rPr/>
        <w:t>年。</w:t>
      </w:r>
    </w:p>
    <w:sectPr>
      <w:pgSz w:w="11910" w:h="16840"/>
      <w:pgMar w:header="0" w:footer="975" w:top="1580" w:bottom="1160" w:left="14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oto Sans Mono CJK JP Regular">
    <w:altName w:val="Noto Sans Mono CJK JP Regular"/>
    <w:charset w:val="0"/>
    <w:family w:val="swiss"/>
    <w:pitch w:val="variable"/>
  </w:font>
  <w:font w:name="Noto Sans CJK JP Regular">
    <w:altName w:val="Noto Sans CJK JP Regular"/>
    <w:charset w:val="0"/>
    <w:family w:val="swiss"/>
    <w:pitch w:val="variable"/>
  </w:font>
  <w:font w:name="Trebuchet MS">
    <w:altName w:val="Trebuchet MS"/>
    <w:charset w:val="0"/>
    <w:family w:val="swiss"/>
    <w:pitch w:val="variable"/>
  </w:font>
  <w:font w:name="Droid Sans Fallback">
    <w:altName w:val="Droid Sans Fallb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6.200012pt;margin-top:782.140015pt;width:8.6pt;height:11pt;mso-position-horizontal-relative:page;mso-position-vertical-relative:page;z-index:-6400"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w w:val="96"/>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3.920013pt;margin-top:782.140015pt;width:13.15pt;height:11pt;mso-position-horizontal-relative:page;mso-position-vertical-relative:page;z-index:-6376"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sz w:val="18"/>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oto Sans Mono CJK JP Regular" w:hAnsi="Noto Sans Mono CJK JP Regular" w:eastAsia="Noto Sans Mono CJK JP Regular" w:cs="Noto Sans Mono CJK JP Regular"/>
    </w:rPr>
  </w:style>
  <w:style w:styleId="BodyText" w:type="paragraph">
    <w:name w:val="Body Text"/>
    <w:basedOn w:val="Normal"/>
    <w:uiPriority w:val="1"/>
    <w:qFormat/>
    <w:pPr>
      <w:ind w:left="108"/>
    </w:pPr>
    <w:rPr>
      <w:rFonts w:ascii="Noto Sans Mono CJK JP Regular" w:hAnsi="Noto Sans Mono CJK JP Regular" w:eastAsia="Noto Sans Mono CJK JP Regular" w:cs="Noto Sans Mono CJK JP Regular"/>
      <w:sz w:val="32"/>
      <w:szCs w:val="32"/>
    </w:rPr>
  </w:style>
  <w:style w:styleId="Heading1" w:type="paragraph">
    <w:name w:val="Heading 1"/>
    <w:basedOn w:val="Normal"/>
    <w:uiPriority w:val="1"/>
    <w:qFormat/>
    <w:pPr>
      <w:spacing w:before="1"/>
      <w:ind w:left="348" w:right="673"/>
      <w:jc w:val="center"/>
      <w:outlineLvl w:val="1"/>
    </w:pPr>
    <w:rPr>
      <w:rFonts w:ascii="Droid Sans Fallback" w:hAnsi="Droid Sans Fallback" w:eastAsia="Droid Sans Fallback" w:cs="Droid Sans Fallback"/>
      <w:sz w:val="44"/>
      <w:szCs w:val="4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dcterms:created xsi:type="dcterms:W3CDTF">2018-06-04T03:25:21Z</dcterms:created>
  <dcterms:modified xsi:type="dcterms:W3CDTF">2018-06-04T03:25:21Z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WPS Office</vt:lpwstr>
  </property>
  <property fmtid="{D5CDD505-2E9C-101B-9397-08002B2CF9AE}" pid="4" name="LastSaved">
    <vt:filetime>2018-06-04T00:00:00Z</vt:filetime>
  </property>
</Properties>
</file>