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847" w:type="dxa"/>
        <w:tblInd w:w="8" w:type="dxa"/>
        <w:tblLayout w:type="fixed"/>
        <w:tblCellMar>
          <w:top w:w="0" w:type="dxa"/>
          <w:left w:w="0" w:type="dxa"/>
          <w:bottom w:w="0" w:type="dxa"/>
          <w:right w:w="0" w:type="dxa"/>
        </w:tblCellMar>
      </w:tblPr>
      <w:tblGrid>
        <w:gridCol w:w="85"/>
        <w:gridCol w:w="4297"/>
        <w:gridCol w:w="4345"/>
        <w:gridCol w:w="120"/>
      </w:tblGrid>
      <w:tr>
        <w:tblPrEx>
          <w:tblLayout w:type="fixed"/>
          <w:tblCellMar>
            <w:top w:w="0" w:type="dxa"/>
            <w:left w:w="0" w:type="dxa"/>
            <w:bottom w:w="0" w:type="dxa"/>
            <w:right w:w="0" w:type="dxa"/>
          </w:tblCellMar>
        </w:tblPrEx>
        <w:trPr>
          <w:cantSplit/>
          <w:trHeight w:val="1869" w:hRule="atLeast"/>
        </w:trPr>
        <w:tc>
          <w:tcPr>
            <w:tcW w:w="4382" w:type="dxa"/>
            <w:gridSpan w:val="2"/>
          </w:tcPr>
          <w:p>
            <w:pPr>
              <w:snapToGrid w:val="0"/>
              <w:spacing w:line="480" w:lineRule="exact"/>
              <w:rPr>
                <w:rFonts w:ascii="黑体" w:hAnsi="华文中宋" w:eastAsia="黑体" w:cs="仿宋_GB2312"/>
                <w:color w:val="FFFFFF"/>
                <w:sz w:val="32"/>
                <w:szCs w:val="32"/>
              </w:rPr>
            </w:pPr>
            <w:bookmarkStart w:id="3" w:name="_GoBack"/>
            <w:bookmarkEnd w:id="3"/>
            <w:r>
              <w:rPr>
                <w:rFonts w:hint="eastAsia" w:ascii="黑体" w:hAnsi="华文中宋" w:eastAsia="黑体" w:cs="仿宋_GB2312"/>
                <w:color w:val="FFFFFF"/>
                <w:sz w:val="32"/>
                <w:szCs w:val="32"/>
              </w:rPr>
              <w:t>年</w:t>
            </w:r>
          </w:p>
          <w:p>
            <w:pPr>
              <w:snapToGrid w:val="0"/>
              <w:spacing w:afterLines="100" w:line="480" w:lineRule="exact"/>
              <w:rPr>
                <w:rFonts w:ascii="黑体" w:eastAsia="黑体"/>
                <w:color w:val="FFFFFF"/>
                <w:sz w:val="32"/>
                <w:szCs w:val="32"/>
              </w:rPr>
            </w:pPr>
            <w:r>
              <w:rPr>
                <w:rFonts w:hint="eastAsia" w:ascii="黑体" w:hAnsi="华文中宋" w:eastAsia="黑体" w:cs="仿宋_GB2312"/>
                <w:color w:val="FFFFFF"/>
                <w:sz w:val="32"/>
                <w:szCs w:val="32"/>
              </w:rPr>
              <w:t>加急</w:t>
            </w:r>
          </w:p>
          <w:p>
            <w:pPr>
              <w:pStyle w:val="7"/>
              <w:spacing w:line="480" w:lineRule="exact"/>
              <w:ind w:left="5250"/>
              <w:rPr>
                <w:color w:val="FFFFFF"/>
              </w:rPr>
            </w:pPr>
          </w:p>
        </w:tc>
        <w:tc>
          <w:tcPr>
            <w:tcW w:w="4465" w:type="dxa"/>
            <w:gridSpan w:val="2"/>
          </w:tcPr>
          <w:p>
            <w:pPr>
              <w:pStyle w:val="18"/>
              <w:tabs>
                <w:tab w:val="left" w:pos="2735"/>
              </w:tabs>
              <w:spacing w:line="480" w:lineRule="exact"/>
              <w:jc w:val="both"/>
              <w:rPr>
                <w:color w:val="FFFFFF"/>
              </w:rPr>
            </w:pPr>
            <w:bookmarkStart w:id="0" w:name="PrivateTime"/>
            <w:bookmarkEnd w:id="0"/>
            <w:bookmarkStart w:id="1" w:name="PrivateLevel"/>
            <w:bookmarkEnd w:id="1"/>
            <w:r>
              <w:rPr>
                <w:color w:val="FFFFFF"/>
              </w:rPr>
              <w:tab/>
            </w:r>
            <w:r>
              <w:rPr>
                <w:rFonts w:hint="eastAsia" w:hAnsi="仿宋_GB2312" w:cs="仿宋_GB2312"/>
                <w:color w:val="FFFFFF"/>
                <w:szCs w:val="32"/>
              </w:rPr>
              <w:t>样式</w:t>
            </w:r>
          </w:p>
        </w:tc>
      </w:tr>
      <w:tr>
        <w:tblPrEx>
          <w:tblLayout w:type="fixed"/>
          <w:tblCellMar>
            <w:top w:w="0" w:type="dxa"/>
            <w:left w:w="0" w:type="dxa"/>
            <w:bottom w:w="0" w:type="dxa"/>
            <w:right w:w="0" w:type="dxa"/>
          </w:tblCellMar>
        </w:tblPrEx>
        <w:trPr>
          <w:gridBefore w:val="1"/>
          <w:gridAfter w:val="1"/>
          <w:wBefore w:w="85" w:type="dxa"/>
          <w:wAfter w:w="120" w:type="dxa"/>
          <w:cantSplit/>
          <w:trHeight w:val="922" w:hRule="atLeast"/>
        </w:trPr>
        <w:tc>
          <w:tcPr>
            <w:tcW w:w="8642" w:type="dxa"/>
            <w:gridSpan w:val="2"/>
            <w:vAlign w:val="center"/>
          </w:tcPr>
          <w:p>
            <w:pPr>
              <w:pStyle w:val="2"/>
              <w:spacing w:afterLines="50"/>
              <w:jc w:val="center"/>
              <w:rPr>
                <w:rFonts w:ascii="方正大标宋简体" w:hAnsi="华文细黑" w:eastAsia="方正大标宋简体"/>
                <w:spacing w:val="-14"/>
                <w:w w:val="80"/>
                <w:sz w:val="86"/>
                <w:szCs w:val="86"/>
              </w:rPr>
            </w:pPr>
            <w:bookmarkStart w:id="2" w:name="Urgent"/>
            <w:bookmarkEnd w:id="2"/>
          </w:p>
        </w:tc>
      </w:tr>
      <w:tr>
        <w:tblPrEx>
          <w:tblLayout w:type="fixed"/>
          <w:tblCellMar>
            <w:top w:w="0" w:type="dxa"/>
            <w:left w:w="0" w:type="dxa"/>
            <w:bottom w:w="0" w:type="dxa"/>
            <w:right w:w="0" w:type="dxa"/>
          </w:tblCellMar>
        </w:tblPrEx>
        <w:trPr>
          <w:cantSplit/>
          <w:trHeight w:val="1091" w:hRule="atLeast"/>
        </w:trPr>
        <w:tc>
          <w:tcPr>
            <w:tcW w:w="8847" w:type="dxa"/>
            <w:gridSpan w:val="4"/>
            <w:vAlign w:val="bottom"/>
          </w:tcPr>
          <w:p>
            <w:pPr>
              <w:tabs>
                <w:tab w:val="left" w:pos="8460"/>
              </w:tabs>
              <w:spacing w:beforeLines="50" w:line="560" w:lineRule="exact"/>
              <w:jc w:val="center"/>
              <w:rPr>
                <w:rFonts w:ascii="仿宋_GB2312" w:hAnsi="华文中宋" w:eastAsia="仿宋_GB2312" w:cs="仿宋_GB2312"/>
                <w:color w:val="000000"/>
                <w:sz w:val="32"/>
                <w:szCs w:val="32"/>
              </w:rPr>
            </w:pPr>
            <w:r>
              <w:rPr>
                <w:rFonts w:hint="eastAsia" w:ascii="仿宋_GB2312" w:eastAsia="仿宋_GB2312"/>
                <w:color w:val="000000"/>
                <w:sz w:val="32"/>
                <w:szCs w:val="32"/>
              </w:rPr>
              <w:t>深盐府规〔2020〕</w:t>
            </w:r>
            <w:r>
              <w:rPr>
                <w:rFonts w:hint="eastAsia" w:ascii="仿宋_GB2312" w:eastAsia="仿宋_GB2312"/>
                <w:color w:val="000000"/>
                <w:sz w:val="32"/>
                <w:szCs w:val="32"/>
                <w:lang w:val="en-US" w:eastAsia="zh-CN"/>
              </w:rPr>
              <w:t>1</w:t>
            </w:r>
            <w:r>
              <w:rPr>
                <w:rFonts w:hint="eastAsia" w:ascii="仿宋_GB2312" w:hAnsi="华文中宋" w:eastAsia="仿宋_GB2312" w:cs="仿宋_GB2312"/>
                <w:color w:val="000000"/>
                <w:sz w:val="32"/>
                <w:szCs w:val="32"/>
              </w:rPr>
              <w:t>号</w:t>
            </w:r>
          </w:p>
        </w:tc>
      </w:tr>
      <w:tr>
        <w:tblPrEx>
          <w:tblLayout w:type="fixed"/>
          <w:tblCellMar>
            <w:top w:w="0" w:type="dxa"/>
            <w:left w:w="0" w:type="dxa"/>
            <w:bottom w:w="0" w:type="dxa"/>
            <w:right w:w="0" w:type="dxa"/>
          </w:tblCellMar>
        </w:tblPrEx>
        <w:trPr>
          <w:cantSplit/>
          <w:trHeight w:val="166" w:hRule="exact"/>
        </w:trPr>
        <w:tc>
          <w:tcPr>
            <w:tcW w:w="8847" w:type="dxa"/>
            <w:gridSpan w:val="4"/>
            <w:tcBorders>
              <w:bottom w:val="single" w:color="FFFFFF" w:sz="18" w:space="0"/>
            </w:tcBorders>
          </w:tcPr>
          <w:p>
            <w:pPr>
              <w:jc w:val="center"/>
            </w:pPr>
          </w:p>
        </w:tc>
      </w:tr>
    </w:tbl>
    <w:p>
      <w:pPr>
        <w:spacing w:line="590" w:lineRule="exact"/>
        <w:rPr>
          <w:rFonts w:ascii="仿宋_GB2312" w:eastAsia="仿宋_GB2312"/>
          <w:color w:val="000000"/>
          <w:sz w:val="32"/>
          <w:szCs w:val="32"/>
        </w:rPr>
      </w:pPr>
    </w:p>
    <w:p>
      <w:pPr>
        <w:spacing w:line="590" w:lineRule="exact"/>
        <w:rPr>
          <w:rFonts w:ascii="仿宋_GB2312" w:hAnsi="华文中宋" w:eastAsia="仿宋_GB2312" w:cs="仿宋_GB2312"/>
          <w:color w:val="000000"/>
          <w:sz w:val="32"/>
          <w:szCs w:val="32"/>
        </w:rPr>
      </w:pPr>
    </w:p>
    <w:p>
      <w:pPr>
        <w:spacing w:line="580" w:lineRule="exact"/>
        <w:jc w:val="center"/>
        <w:rPr>
          <w:rFonts w:ascii="方正小标宋简体" w:hAnsi="华文中宋" w:eastAsia="方正小标宋简体" w:cs="仿宋_GB2312"/>
          <w:color w:val="000000"/>
          <w:sz w:val="44"/>
          <w:szCs w:val="44"/>
        </w:rPr>
      </w:pPr>
      <w:r>
        <w:rPr>
          <w:rFonts w:hint="eastAsia" w:ascii="方正小标宋简体" w:hAnsi="华文中宋" w:eastAsia="方正小标宋简体" w:cs="仿宋_GB2312"/>
          <w:color w:val="000000"/>
          <w:sz w:val="44"/>
          <w:szCs w:val="44"/>
        </w:rPr>
        <w:t>深圳市盐田区人民政府关于印发</w:t>
      </w:r>
    </w:p>
    <w:p>
      <w:pPr>
        <w:spacing w:line="580" w:lineRule="exact"/>
        <w:jc w:val="center"/>
        <w:rPr>
          <w:rFonts w:ascii="方正小标宋简体" w:hAnsi="华文中宋" w:eastAsia="方正小标宋简体" w:cs="仿宋_GB2312"/>
          <w:color w:val="000000"/>
          <w:spacing w:val="-20"/>
          <w:sz w:val="44"/>
          <w:szCs w:val="44"/>
        </w:rPr>
      </w:pPr>
      <w:r>
        <w:rPr>
          <w:rFonts w:hint="eastAsia" w:ascii="方正小标宋简体" w:hAnsi="华文中宋" w:eastAsia="方正小标宋简体" w:cs="仿宋_GB2312"/>
          <w:color w:val="000000"/>
          <w:sz w:val="44"/>
          <w:szCs w:val="44"/>
        </w:rPr>
        <w:t>盐田区产业发展资金管理规定的通知</w:t>
      </w:r>
    </w:p>
    <w:p>
      <w:pPr>
        <w:spacing w:line="590" w:lineRule="exact"/>
        <w:rPr>
          <w:rFonts w:ascii="仿宋_GB2312" w:hAnsi="华文中宋" w:eastAsia="仿宋_GB2312" w:cs="仿宋_GB2312"/>
          <w:color w:val="000000"/>
          <w:sz w:val="32"/>
          <w:szCs w:val="32"/>
        </w:rPr>
      </w:pPr>
    </w:p>
    <w:p>
      <w:pPr>
        <w:spacing w:line="590" w:lineRule="exact"/>
        <w:rPr>
          <w:rFonts w:ascii="华文中宋" w:hAnsi="华文中宋" w:eastAsia="华文中宋" w:cs="仿宋_GB2312"/>
          <w:color w:val="000000"/>
          <w:sz w:val="32"/>
          <w:szCs w:val="32"/>
        </w:rPr>
      </w:pPr>
      <w:r>
        <w:rPr>
          <w:rFonts w:hint="eastAsia" w:ascii="仿宋_GB2312" w:hAnsi="华文中宋" w:eastAsia="仿宋_GB2312" w:cs="仿宋_GB2312"/>
          <w:color w:val="000000"/>
          <w:sz w:val="32"/>
          <w:szCs w:val="32"/>
        </w:rPr>
        <w:t>各街道办事处，区政府直属、驻盐各单位</w:t>
      </w:r>
      <w:r>
        <w:rPr>
          <w:rFonts w:hint="eastAsia" w:ascii="华文中宋" w:hAnsi="华文中宋" w:eastAsia="华文中宋" w:cs="仿宋_GB2312"/>
          <w:color w:val="000000"/>
          <w:sz w:val="32"/>
          <w:szCs w:val="32"/>
        </w:rPr>
        <w:t>：</w:t>
      </w:r>
    </w:p>
    <w:p>
      <w:pPr>
        <w:spacing w:line="590" w:lineRule="exact"/>
        <w:ind w:firstLine="640" w:firstLineChars="200"/>
        <w:rPr>
          <w:rFonts w:ascii="仿宋_GB2312" w:hAnsi="华文中宋" w:eastAsia="仿宋_GB2312" w:cs="仿宋_GB2312"/>
          <w:color w:val="000000"/>
          <w:spacing w:val="-6"/>
          <w:sz w:val="32"/>
          <w:szCs w:val="32"/>
        </w:rPr>
      </w:pPr>
      <w:r>
        <w:rPr>
          <w:rFonts w:hint="eastAsia" w:ascii="仿宋_GB2312" w:hAnsi="华文中宋" w:eastAsia="仿宋_GB2312" w:cs="仿宋_GB2312"/>
          <w:color w:val="000000"/>
          <w:sz w:val="32"/>
          <w:szCs w:val="32"/>
        </w:rPr>
        <w:t>现将《盐田区产业发展资金管理规定》</w:t>
      </w:r>
      <w:r>
        <w:rPr>
          <w:rFonts w:hint="eastAsia" w:ascii="仿宋_GB2312" w:hAnsi="华文中宋" w:eastAsia="仿宋_GB2312" w:cs="仿宋_GB2312"/>
          <w:color w:val="000000"/>
          <w:spacing w:val="-6"/>
          <w:sz w:val="32"/>
          <w:szCs w:val="32"/>
        </w:rPr>
        <w:t>印发给你们，请认真贯彻执行。</w:t>
      </w:r>
    </w:p>
    <w:p>
      <w:pPr>
        <w:spacing w:line="590" w:lineRule="exact"/>
        <w:rPr>
          <w:rFonts w:ascii="仿宋_GB2312" w:hAnsi="华文中宋" w:eastAsia="仿宋_GB2312" w:cs="仿宋_GB2312"/>
          <w:color w:val="000000"/>
          <w:spacing w:val="-6"/>
          <w:sz w:val="32"/>
          <w:szCs w:val="32"/>
        </w:rPr>
      </w:pPr>
    </w:p>
    <w:p>
      <w:pPr>
        <w:spacing w:line="590" w:lineRule="exact"/>
        <w:rPr>
          <w:rFonts w:ascii="仿宋_GB2312" w:hAnsi="华文中宋" w:eastAsia="仿宋_GB2312" w:cs="仿宋_GB2312"/>
          <w:color w:val="000000"/>
          <w:spacing w:val="-6"/>
          <w:sz w:val="32"/>
          <w:szCs w:val="32"/>
        </w:rPr>
      </w:pPr>
    </w:p>
    <w:p>
      <w:pPr>
        <w:spacing w:line="590" w:lineRule="exact"/>
        <w:ind w:right="640" w:firstLine="4480" w:firstLineChars="1400"/>
        <w:rPr>
          <w:rFonts w:ascii="仿宋_GB2312" w:hAnsi="华文中宋" w:eastAsia="仿宋_GB2312"/>
          <w:color w:val="000000"/>
          <w:sz w:val="32"/>
          <w:szCs w:val="32"/>
        </w:rPr>
      </w:pPr>
      <w:r>
        <w:rPr>
          <w:rFonts w:hint="eastAsia" w:ascii="仿宋_GB2312" w:hAnsi="华文中宋" w:eastAsia="仿宋_GB2312"/>
          <w:color w:val="000000"/>
          <w:sz w:val="32"/>
          <w:szCs w:val="32"/>
        </w:rPr>
        <w:t>深圳市盐田区人民政府</w:t>
      </w:r>
    </w:p>
    <w:p>
      <w:pPr>
        <w:tabs>
          <w:tab w:val="left" w:pos="4680"/>
          <w:tab w:val="left" w:pos="4860"/>
          <w:tab w:val="left" w:pos="5040"/>
        </w:tabs>
        <w:wordWrap w:val="0"/>
        <w:spacing w:line="590" w:lineRule="exact"/>
        <w:ind w:right="640"/>
        <w:rPr>
          <w:rFonts w:ascii="仿宋_GB2312" w:hAnsi="华文中宋" w:eastAsia="仿宋_GB2312"/>
          <w:color w:val="000000"/>
          <w:sz w:val="32"/>
          <w:szCs w:val="32"/>
        </w:rPr>
      </w:pPr>
      <w:r>
        <w:rPr>
          <w:rFonts w:hint="eastAsia" w:ascii="仿宋_GB2312" w:hAnsi="华文中宋" w:eastAsia="仿宋_GB2312"/>
          <w:color w:val="000000"/>
          <w:sz w:val="32"/>
          <w:szCs w:val="32"/>
        </w:rPr>
        <w:t xml:space="preserve">                              2020年</w:t>
      </w:r>
      <w:r>
        <w:rPr>
          <w:rFonts w:hint="eastAsia" w:ascii="仿宋_GB2312" w:hAnsi="宋体" w:eastAsia="仿宋_GB2312" w:cs="仿宋_GB2312"/>
          <w:color w:val="000000"/>
          <w:sz w:val="32"/>
          <w:szCs w:val="32"/>
        </w:rPr>
        <w:t>4</w:t>
      </w:r>
      <w:r>
        <w:rPr>
          <w:rFonts w:hint="eastAsia" w:ascii="仿宋_GB2312" w:hAnsi="华文中宋" w:eastAsia="仿宋_GB2312"/>
          <w:color w:val="000000"/>
          <w:sz w:val="32"/>
          <w:szCs w:val="32"/>
        </w:rPr>
        <w:t>月</w:t>
      </w:r>
      <w:r>
        <w:rPr>
          <w:rFonts w:hint="eastAsia" w:ascii="仿宋_GB2312" w:hAnsi="宋体" w:eastAsia="仿宋_GB2312" w:cs="仿宋_GB2312"/>
          <w:color w:val="000000"/>
          <w:sz w:val="32"/>
          <w:szCs w:val="32"/>
          <w:lang w:val="en-US" w:eastAsia="zh-CN"/>
        </w:rPr>
        <w:t>23</w:t>
      </w:r>
      <w:r>
        <w:rPr>
          <w:rFonts w:hint="eastAsia" w:ascii="仿宋_GB2312" w:hAnsi="华文中宋" w:eastAsia="仿宋_GB2312"/>
          <w:color w:val="000000"/>
          <w:sz w:val="32"/>
          <w:szCs w:val="32"/>
        </w:rPr>
        <w:t>日</w:t>
      </w:r>
    </w:p>
    <w:p>
      <w:pPr>
        <w:tabs>
          <w:tab w:val="left" w:pos="4680"/>
          <w:tab w:val="left" w:pos="4860"/>
          <w:tab w:val="left" w:pos="5040"/>
        </w:tabs>
        <w:wordWrap w:val="0"/>
        <w:spacing w:line="590" w:lineRule="exact"/>
        <w:ind w:right="640"/>
        <w:rPr>
          <w:rFonts w:ascii="仿宋_GB2312" w:hAnsi="华文中宋" w:eastAsia="仿宋_GB2312"/>
          <w:color w:val="000000"/>
          <w:sz w:val="32"/>
          <w:szCs w:val="32"/>
        </w:rPr>
      </w:pPr>
    </w:p>
    <w:p>
      <w:pPr>
        <w:autoSpaceDE w:val="0"/>
        <w:autoSpaceDN w:val="0"/>
        <w:adjustRightInd w:val="0"/>
        <w:spacing w:line="560" w:lineRule="exact"/>
        <w:jc w:val="center"/>
        <w:rPr>
          <w:rFonts w:ascii="方正小标宋简体" w:hAnsi="宋体" w:eastAsia="方正小标宋简体"/>
          <w:color w:val="000000"/>
          <w:sz w:val="44"/>
          <w:szCs w:val="44"/>
        </w:rPr>
      </w:pPr>
    </w:p>
    <w:p>
      <w:pPr>
        <w:autoSpaceDE w:val="0"/>
        <w:autoSpaceDN w:val="0"/>
        <w:adjustRightInd w:val="0"/>
        <w:spacing w:line="560" w:lineRule="exact"/>
        <w:rPr>
          <w:rFonts w:ascii="方正小标宋简体" w:hAnsi="宋体" w:eastAsia="方正小标宋简体"/>
          <w:color w:val="000000"/>
          <w:sz w:val="32"/>
          <w:szCs w:val="32"/>
        </w:rPr>
      </w:pPr>
    </w:p>
    <w:p>
      <w:pPr>
        <w:autoSpaceDE w:val="0"/>
        <w:autoSpaceDN w:val="0"/>
        <w:adjustRightInd w:val="0"/>
        <w:spacing w:line="560" w:lineRule="exact"/>
        <w:ind w:left="200"/>
        <w:jc w:val="center"/>
        <w:rPr>
          <w:rFonts w:ascii="方正小标宋简体" w:eastAsia="方正小标宋简体"/>
          <w:color w:val="000000"/>
          <w:sz w:val="44"/>
          <w:szCs w:val="44"/>
        </w:rPr>
      </w:pPr>
      <w:r>
        <w:rPr>
          <w:rFonts w:hint="eastAsia" w:ascii="方正小标宋简体" w:hAnsi="微软雅黑" w:eastAsia="方正小标宋简体"/>
          <w:sz w:val="44"/>
          <w:szCs w:val="44"/>
        </w:rPr>
        <w:t>盐田区产业发展资金管理规定</w:t>
      </w:r>
    </w:p>
    <w:p>
      <w:pPr>
        <w:pStyle w:val="22"/>
        <w:spacing w:line="560" w:lineRule="exact"/>
        <w:ind w:firstLine="0" w:firstLineChars="0"/>
        <w:rPr>
          <w:rFonts w:ascii="Times New Roman" w:hAnsi="Times New Roman" w:eastAsia="黑体"/>
          <w:color w:val="000000"/>
          <w:sz w:val="32"/>
          <w:szCs w:val="32"/>
        </w:rPr>
      </w:pPr>
    </w:p>
    <w:p>
      <w:pPr>
        <w:pStyle w:val="24"/>
        <w:spacing w:afterLines="50"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　则</w:t>
      </w:r>
    </w:p>
    <w:p>
      <w:pPr>
        <w:pStyle w:val="24"/>
        <w:numPr>
          <w:ilvl w:val="255"/>
          <w:numId w:val="0"/>
        </w:numPr>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第一条</w:t>
      </w:r>
      <w:r>
        <w:rPr>
          <w:rFonts w:hint="eastAsia" w:ascii="仿宋_GB2312" w:eastAsia="仿宋_GB2312" w:cs="仿宋_GB2312"/>
          <w:color w:val="000000" w:themeColor="text1"/>
          <w:sz w:val="32"/>
          <w:szCs w:val="32"/>
          <w14:textFill>
            <w14:solidFill>
              <w14:schemeClr w14:val="tx1"/>
            </w14:solidFill>
          </w14:textFill>
        </w:rPr>
        <w:t xml:space="preserve">  为了进一步规范盐田区产业发展资金（以下简称产业资金）的管理，确保产业资金安全和高效使用，推动产业转型发展、创新发展、低碳发展、健康发展，根据省、市有关文件精神，结合我区实际，制定本规定。</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第二条</w:t>
      </w:r>
      <w:r>
        <w:rPr>
          <w:rFonts w:hint="eastAsia"/>
          <w:color w:val="000000" w:themeColor="text1"/>
          <w:sz w:val="32"/>
          <w:szCs w:val="32"/>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本规定所称的产业资金，是指用于支持辖区产业发展、提升产业自主创新能力、促进产业转型升级和招商引资的资金。产业资金列入区财政年度预算安排，按照盐田区关于财政专项资金管理的相关规定管理和使用。</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产业资金的管理和使用坚持公平与效益相结合、权利与责任相结合原则，加强绩效评估，充分发挥产业资金使用的经济与社会效益。</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p>
    <w:p>
      <w:pPr>
        <w:pStyle w:val="24"/>
        <w:spacing w:afterLines="50"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第二章 扶持对象及方式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第四条</w:t>
      </w:r>
      <w:r>
        <w:rPr>
          <w:rFonts w:hint="eastAsia"/>
          <w:color w:val="000000" w:themeColor="text1"/>
          <w:sz w:val="32"/>
          <w:szCs w:val="32"/>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产业资金主要用于扶持符合辖区产业发展方向的企业、民办非企业单位、社会团体、机关事业单位（以下统称企业、机构、单位）或个人。</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第五条</w:t>
      </w:r>
      <w:r>
        <w:rPr>
          <w:rFonts w:hint="eastAsia"/>
          <w:color w:val="000000" w:themeColor="text1"/>
          <w:sz w:val="32"/>
          <w:szCs w:val="32"/>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产业资金的扶持方式包括无偿资助和奖励。</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无偿资助是指对企业、机构、单位或个人进行补贴资助、配套资助、上市资助等。</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奖励是指对辖区经济发展、科技创新、公众健康有突出贡献的企业、机构、单位或个人予以资金激励</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以及区政府根据上级有关政策对国家、省、市颁发、授予奖项的配套奖励。</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第六条</w:t>
      </w:r>
      <w:r>
        <w:rPr>
          <w:rFonts w:ascii="仿宋_GB2312" w:eastAsia="仿宋_GB2312" w:cs="仿宋_GB2312"/>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 xml:space="preserve"> 申请产业资金扶持的企业、机构、单位须满足以下条件：</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（一）在盐田区依法登记注册且具备独立法人资格的企业、单位，或经区政府常务会议认定对盐田区经济发展有重要贡献的企业、机构、单位。产业资金各分项资金政策另有规定的除外；</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（二）符合申请的产业资金分项资金政策的其他条件。</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申请产业资金扶持的个人须满足以下条件之一，产业资金各分项资金政策另有规定的除外：</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（一）盐田区户籍居民；</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（二）无盐田区户籍，但工作单位在盐田区且该单位为其依法购买社保，或持有盐田区有效居住证件的居民。</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第八条</w:t>
      </w:r>
      <w:r>
        <w:rPr>
          <w:rFonts w:hint="eastAsia"/>
          <w:color w:val="000000" w:themeColor="text1"/>
          <w:sz w:val="32"/>
          <w:szCs w:val="32"/>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有下列情形之一的，不予受理：</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（一）申请资助时企业、机构、单位存在被列入国家黑名单、深圳黑名单、经营异常名录、失信被执行人信息未执行完毕或被列入严重违法失信信息的；</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（二）申请之日前两年内企业、机构、单位存在被处以责令停产停业、暂扣或者吊销许可证、暂扣或者吊销执照行政处罚的；</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（三）申请之日前两年内在盐田区发生一般及以上级别生产安全事故的；</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（四）申请资助时个人存在被纳入失信被执行人名单的；</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（五）区政府规定的其他不予受理的情形。</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以上第一项和第二项情形以深圳信用网公共信用信息查询报告、信用核查报告和盐田信用网市场主体信用报告信息为准，第三项情形以深圳盐田政府在线政务公开中发布的安全生产事故调查报告为准，第四项情形以中国执行信息公开网查询结果为准。</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第九条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产业资金扶持应遵循以下原则：</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（一）同一项目只能申请一个分项产业资金支持；</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（二）同一项目不得被不同企业、机构、单位或个人用于重复申请，产业资金各分项资金政策另有规定的除外；</w:t>
      </w:r>
    </w:p>
    <w:p>
      <w:pPr>
        <w:pStyle w:val="24"/>
        <w:spacing w:line="560" w:lineRule="exact"/>
        <w:ind w:firstLine="640" w:firstLineChars="200"/>
        <w:jc w:val="both"/>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（三）每家中小微型企业每一年度内享受的扶持总额在一千万元以下，每家机构、单位、大型企业、单一集团企业（母公司及属其合并报表范围的子公司）每一年度内享受的扶持总额在三千万元以下。</w:t>
      </w:r>
    </w:p>
    <w:p>
      <w:pPr>
        <w:pStyle w:val="24"/>
        <w:spacing w:line="560" w:lineRule="exact"/>
        <w:ind w:firstLine="640" w:firstLineChars="200"/>
        <w:jc w:val="both"/>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（四）每家企业、机构、单位每一年度内享受的扶持总额原则上不超过其上一年度财政贡献。</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主管部门应根据项目备案总表核查扶持项目是否符合以上原则，主管部门可根据实际情况征求区相关部门的核查意见。</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第十条</w:t>
      </w:r>
      <w:r>
        <w:rPr>
          <w:rFonts w:hint="eastAsia"/>
          <w:color w:val="000000" w:themeColor="text1"/>
          <w:sz w:val="32"/>
          <w:szCs w:val="32"/>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产业资金管理和运作过程中产生的管理费用，包括评审费、法律和审计等费用可从产业资金中列支。</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p>
    <w:p>
      <w:pPr>
        <w:pStyle w:val="24"/>
        <w:spacing w:afterLines="50"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产业资金管理与职责分工</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第十一条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成立盐田区产业发展资金管理工作领导小组（以下简称领导小组），由常务副区长任组长，分管经济、财政部门的副区长任副组长，区发展改革局（区统计局）、区科技创新局、区工业和</w:t>
      </w:r>
      <w:r>
        <w:rPr>
          <w:rFonts w:ascii="仿宋_GB2312" w:eastAsia="仿宋_GB2312" w:cs="仿宋_GB2312"/>
          <w:color w:val="000000" w:themeColor="text1"/>
          <w:sz w:val="32"/>
          <w:szCs w:val="32"/>
          <w14:textFill>
            <w14:solidFill>
              <w14:schemeClr w14:val="tx1"/>
            </w14:solidFill>
          </w14:textFill>
        </w:rPr>
        <w:t>信息化局</w:t>
      </w:r>
      <w:r>
        <w:rPr>
          <w:rFonts w:hint="eastAsia" w:ascii="仿宋_GB2312" w:eastAsia="仿宋_GB2312" w:cs="仿宋_GB2312"/>
          <w:color w:val="000000" w:themeColor="text1"/>
          <w:sz w:val="32"/>
          <w:szCs w:val="32"/>
          <w14:textFill>
            <w14:solidFill>
              <w14:schemeClr w14:val="tx1"/>
            </w14:solidFill>
          </w14:textFill>
        </w:rPr>
        <w:t>、区司法局、区财政局、区卫生健康局为领导小组成员单位，领导小组成员单位根据各自职能做好产业资金管理相关工作。</w:t>
      </w:r>
      <w:r>
        <w:rPr>
          <w:rFonts w:ascii="仿宋_GB2312" w:eastAsia="仿宋_GB2312" w:cs="仿宋_GB2312"/>
          <w:color w:val="000000" w:themeColor="text1"/>
          <w:sz w:val="32"/>
          <w:szCs w:val="32"/>
          <w14:textFill>
            <w14:solidFill>
              <w14:schemeClr w14:val="tx1"/>
            </w14:solidFill>
          </w14:textFill>
        </w:rPr>
        <w:t xml:space="preserve"> </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第十二条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领导小组职责：</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（一）按权限研究产业资金项目并提出决策建议；</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（二）研究产业资金年度预算安排并提出决策建议；</w:t>
      </w:r>
    </w:p>
    <w:p>
      <w:pPr>
        <w:pStyle w:val="24"/>
        <w:spacing w:line="560" w:lineRule="exact"/>
        <w:ind w:firstLine="640" w:firstLineChars="200"/>
        <w:jc w:val="both"/>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（三）研究申报对象当年度享受的扶持总额超过其上一年</w:t>
      </w:r>
    </w:p>
    <w:p>
      <w:pPr>
        <w:pStyle w:val="24"/>
        <w:spacing w:line="560" w:lineRule="exact"/>
        <w:ind w:firstLine="0" w:firstLineChars="0"/>
        <w:jc w:val="both"/>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度财政贡献的情形并提出决策建议；</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（四）</w:t>
      </w:r>
      <w:r>
        <w:rPr>
          <w:rFonts w:hint="eastAsia" w:ascii="仿宋_GB2312" w:eastAsia="仿宋_GB2312" w:cs="仿宋_GB2312"/>
          <w:color w:val="000000" w:themeColor="text1"/>
          <w:sz w:val="32"/>
          <w:szCs w:val="32"/>
          <w14:textFill>
            <w14:solidFill>
              <w14:schemeClr w14:val="tx1"/>
            </w14:solidFill>
          </w14:textFill>
        </w:rPr>
        <w:t>研究其他需提交领导小组讨论的事项等。</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领导小组会议可根据讨论事项需要，邀请其他相关部门参加，领导小组会议不讨论各分项产业资金主管部门制定的政策和申报指南。</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第十三条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区发展改革局（区统计局）、区科技创新局、区工业和信息化局、区司法局、区文化广电旅游体育局、区卫生</w:t>
      </w:r>
      <w:r>
        <w:rPr>
          <w:rFonts w:ascii="仿宋_GB2312" w:eastAsia="仿宋_GB2312" w:cs="仿宋_GB2312"/>
          <w:color w:val="000000" w:themeColor="text1"/>
          <w:sz w:val="32"/>
          <w:szCs w:val="32"/>
          <w14:textFill>
            <w14:solidFill>
              <w14:schemeClr w14:val="tx1"/>
            </w14:solidFill>
          </w14:textFill>
        </w:rPr>
        <w:t>健康局</w:t>
      </w:r>
      <w:r>
        <w:rPr>
          <w:rFonts w:hint="eastAsia" w:ascii="仿宋_GB2312" w:eastAsia="仿宋_GB2312" w:cs="仿宋_GB2312"/>
          <w:color w:val="000000" w:themeColor="text1"/>
          <w:sz w:val="32"/>
          <w:szCs w:val="32"/>
          <w14:textFill>
            <w14:solidFill>
              <w14:schemeClr w14:val="tx1"/>
            </w14:solidFill>
          </w14:textFill>
        </w:rPr>
        <w:t>、市市场监管局盐田监管局等单位是各分项产业资金主管部门（以下简称主管部门），其职责：</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（一）负责制定并向社会公布分项产业资金政策的操作规程或申报指南，包括申报条件、申报材料、认定标准、扶持方式、扶持额度等内容；</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（二）负责对分项产业资金提出年度预算并执行；</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（三）负责接受咨询和受理企业、机构、单位或个人申请；</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（四）负责组织对申请项目的考察、初审、核查、评审，制定扶持项目方案；</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（五）负责对项目公示期内反馈异议的处理；</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（六）负责对符合条件的申报项目拨款；</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（七）负责对扶持项目跟踪监管；</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（八）负责本部门产业资金绩效评价；</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（九）负责做好项目档案管理工作；</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（十）落实区政府确定的其他事项等。</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第十四条</w:t>
      </w:r>
      <w:r>
        <w:rPr>
          <w:rFonts w:hint="eastAsia"/>
          <w:color w:val="000000" w:themeColor="text1"/>
          <w:sz w:val="32"/>
          <w:szCs w:val="32"/>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领导小组下设办公室（以下简称领导小组办公室），办公室设在区工业和信息化局，其职责为：</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（一）负责领导小组会议会务等具体日常工作；</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（二）负责收集各主管部门的项目备案，定期更新项目备案总表并向各主管部门提供；</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（三）负责产业资金项目的公示等。</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第十五条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区发展改革局（区统计局）、区人力资源局、区应急</w:t>
      </w:r>
      <w:r>
        <w:rPr>
          <w:rFonts w:ascii="仿宋_GB2312" w:eastAsia="仿宋_GB2312" w:cs="仿宋_GB2312"/>
          <w:color w:val="000000" w:themeColor="text1"/>
          <w:sz w:val="32"/>
          <w:szCs w:val="32"/>
          <w14:textFill>
            <w14:solidFill>
              <w14:schemeClr w14:val="tx1"/>
            </w14:solidFill>
          </w14:textFill>
        </w:rPr>
        <w:t>管理局</w:t>
      </w:r>
      <w:r>
        <w:rPr>
          <w:rFonts w:hint="eastAsia" w:ascii="仿宋_GB2312" w:eastAsia="仿宋_GB2312" w:cs="仿宋_GB2312"/>
          <w:color w:val="000000" w:themeColor="text1"/>
          <w:sz w:val="32"/>
          <w:szCs w:val="32"/>
          <w14:textFill>
            <w14:solidFill>
              <w14:schemeClr w14:val="tx1"/>
            </w14:solidFill>
          </w14:textFill>
        </w:rPr>
        <w:t>、市生态环境局盐田管理局、市市场监管局盐田监管局、盐田区税务局等部门根据各自职能，配合主管部门核查申请项目的相关事项。</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p>
    <w:p>
      <w:pPr>
        <w:pStyle w:val="24"/>
        <w:spacing w:afterLines="50"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申请和受理</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第十六条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申请产业资金扶持需具备的条件和需提供的资料以本规定、各分项资金政策及各主管部门制定的操作规程或申报指南为准。</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第十七条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申报对象根据各分项产业资金政策的要求向主管部门提交申报资料。主管部门受理企业、机构、单位或个人申请，做好项目申报材料的审核和汇总工作。</w:t>
      </w:r>
    </w:p>
    <w:p>
      <w:pPr>
        <w:pStyle w:val="24"/>
        <w:spacing w:afterLines="50" w:line="560" w:lineRule="exact"/>
        <w:jc w:val="center"/>
        <w:rPr>
          <w:rFonts w:ascii="黑体" w:hAnsi="黑体" w:eastAsia="黑体" w:cs="黑体"/>
          <w:color w:val="000000" w:themeColor="text1"/>
          <w:sz w:val="32"/>
          <w:szCs w:val="32"/>
          <w14:textFill>
            <w14:solidFill>
              <w14:schemeClr w14:val="tx1"/>
            </w14:solidFill>
          </w14:textFill>
        </w:rPr>
      </w:pPr>
    </w:p>
    <w:p>
      <w:pPr>
        <w:pStyle w:val="24"/>
        <w:spacing w:afterLines="50"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 审核和批准</w:t>
      </w:r>
    </w:p>
    <w:p>
      <w:pPr>
        <w:widowControl/>
        <w:numPr>
          <w:ilvl w:val="255"/>
          <w:numId w:val="0"/>
        </w:numPr>
        <w:shd w:val="clear" w:color="auto" w:fill="FFFFFF"/>
        <w:spacing w:line="560" w:lineRule="exact"/>
        <w:ind w:firstLine="640" w:firstLineChars="200"/>
        <w:rPr>
          <w:rFonts w:ascii="仿宋_GB2312" w:hAnsi="Calibri"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第十八条</w:t>
      </w:r>
      <w:r>
        <w:rPr>
          <w:rFonts w:hint="eastAsia" w:ascii="仿宋_GB2312" w:hAnsi="Calibri" w:eastAsia="仿宋_GB2312" w:cs="仿宋_GB2312"/>
          <w:color w:val="000000" w:themeColor="text1"/>
          <w:kern w:val="0"/>
          <w:sz w:val="32"/>
          <w:szCs w:val="32"/>
          <w14:textFill>
            <w14:solidFill>
              <w14:schemeClr w14:val="tx1"/>
            </w14:solidFill>
          </w14:textFill>
        </w:rPr>
        <w:t xml:space="preserve">  产业资金支持的项目审核方式分为核准类和评审类两类。主管部门应根据以下条件明确各项目的审核方式。</w:t>
      </w:r>
    </w:p>
    <w:p>
      <w:pPr>
        <w:widowControl/>
        <w:shd w:val="clear" w:color="auto" w:fill="FFFFFF"/>
        <w:spacing w:line="560" w:lineRule="exact"/>
        <w:ind w:firstLine="640"/>
        <w:rPr>
          <w:rFonts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（一）核准类项目需同时具备以下条件：</w:t>
      </w:r>
    </w:p>
    <w:p>
      <w:pPr>
        <w:widowControl/>
        <w:shd w:val="clear" w:color="auto" w:fill="FFFFFF"/>
        <w:spacing w:line="560" w:lineRule="exact"/>
        <w:ind w:firstLine="640"/>
        <w:rPr>
          <w:rFonts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1.前置的资格认定程序已经完成；</w:t>
      </w:r>
    </w:p>
    <w:p>
      <w:pPr>
        <w:widowControl/>
        <w:shd w:val="clear" w:color="auto" w:fill="FFFFFF"/>
        <w:spacing w:line="560" w:lineRule="exact"/>
        <w:ind w:firstLine="640"/>
        <w:rPr>
          <w:rFonts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2.扶持的标准、依据明确；</w:t>
      </w:r>
    </w:p>
    <w:p>
      <w:pPr>
        <w:widowControl/>
        <w:shd w:val="clear" w:color="auto" w:fill="FFFFFF"/>
        <w:spacing w:line="560" w:lineRule="exact"/>
        <w:ind w:firstLine="640"/>
        <w:rPr>
          <w:rFonts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3.扶持额度不具有自由裁量空间。</w:t>
      </w:r>
    </w:p>
    <w:p>
      <w:pPr>
        <w:widowControl/>
        <w:shd w:val="clear" w:color="auto" w:fill="FFFFFF"/>
        <w:spacing w:line="560" w:lineRule="exact"/>
        <w:ind w:firstLine="640"/>
        <w:rPr>
          <w:rFonts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（二）不同时具备以上核准类三个条件的项目为评审类项目。</w:t>
      </w:r>
    </w:p>
    <w:p>
      <w:pPr>
        <w:widowControl/>
        <w:shd w:val="clear" w:color="auto" w:fill="FFFFFF"/>
        <w:spacing w:line="560" w:lineRule="exact"/>
        <w:ind w:firstLine="640"/>
        <w:rPr>
          <w:rFonts w:ascii="仿宋_GB2312" w:hAnsi="Calibri"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第十九条</w:t>
      </w:r>
      <w:r>
        <w:rPr>
          <w:rFonts w:hint="eastAsia" w:ascii="黑体" w:hAnsi="Calibri" w:eastAsia="黑体" w:cs="黑体"/>
          <w:color w:val="000000" w:themeColor="text1"/>
          <w:kern w:val="0"/>
          <w:sz w:val="32"/>
          <w:szCs w:val="32"/>
          <w14:textFill>
            <w14:solidFill>
              <w14:schemeClr w14:val="tx1"/>
            </w14:solidFill>
          </w14:textFill>
        </w:rPr>
        <w:t xml:space="preserve"> </w:t>
      </w:r>
      <w:r>
        <w:rPr>
          <w:rFonts w:hint="eastAsia" w:ascii="仿宋_GB2312" w:hAnsi="微软雅黑" w:cs="宋体"/>
          <w:color w:val="000000" w:themeColor="text1"/>
          <w:kern w:val="0"/>
          <w:sz w:val="32"/>
          <w:szCs w:val="32"/>
          <w14:textFill>
            <w14:solidFill>
              <w14:schemeClr w14:val="tx1"/>
            </w14:solidFill>
          </w14:textFill>
        </w:rPr>
        <w:t xml:space="preserve"> </w:t>
      </w:r>
      <w:r>
        <w:rPr>
          <w:rFonts w:hint="eastAsia" w:ascii="仿宋_GB2312" w:hAnsi="Calibri" w:eastAsia="仿宋_GB2312" w:cs="仿宋_GB2312"/>
          <w:color w:val="000000" w:themeColor="text1"/>
          <w:kern w:val="0"/>
          <w:sz w:val="32"/>
          <w:szCs w:val="32"/>
          <w:lang w:eastAsia="zh-CN"/>
          <w14:textFill>
            <w14:solidFill>
              <w14:schemeClr w14:val="tx1"/>
            </w14:solidFill>
          </w14:textFill>
        </w:rPr>
        <w:t>核准类项目</w:t>
      </w:r>
      <w:r>
        <w:rPr>
          <w:rFonts w:hint="eastAsia" w:ascii="仿宋_GB2312" w:hAnsi="Calibri" w:eastAsia="仿宋_GB2312" w:cs="仿宋_GB2312"/>
          <w:color w:val="000000" w:themeColor="text1"/>
          <w:kern w:val="0"/>
          <w:sz w:val="32"/>
          <w:szCs w:val="32"/>
          <w14:textFill>
            <w14:solidFill>
              <w14:schemeClr w14:val="tx1"/>
            </w14:solidFill>
          </w14:textFill>
        </w:rPr>
        <w:t>审批流程。</w:t>
      </w:r>
    </w:p>
    <w:p>
      <w:pPr>
        <w:widowControl/>
        <w:shd w:val="clear" w:color="auto" w:fill="FFFFFF"/>
        <w:spacing w:line="560" w:lineRule="exact"/>
        <w:ind w:firstLine="640" w:firstLineChars="0"/>
        <w:rPr>
          <w:rFonts w:hint="eastAsia"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（一）单项扶持金额在一百万元以下的核准类项目，按以下程序进行：</w:t>
      </w:r>
    </w:p>
    <w:p>
      <w:pPr>
        <w:widowControl/>
        <w:shd w:val="clear" w:color="auto" w:fill="FFFFFF"/>
        <w:spacing w:line="560" w:lineRule="exact"/>
        <w:ind w:firstLine="640" w:firstLineChars="0"/>
        <w:rPr>
          <w:rFonts w:hint="eastAsia"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lang w:val="en-US" w:eastAsia="zh-CN"/>
          <w14:textFill>
            <w14:solidFill>
              <w14:schemeClr w14:val="tx1"/>
            </w14:solidFill>
          </w14:textFill>
        </w:rPr>
        <w:t>1.对于申报对象当年度享受的扶持总额未超过其上一年度财政贡献的情形，由</w:t>
      </w:r>
      <w:r>
        <w:rPr>
          <w:rFonts w:hint="eastAsia" w:ascii="仿宋_GB2312" w:hAnsi="Calibri" w:eastAsia="仿宋_GB2312" w:cs="仿宋_GB2312"/>
          <w:color w:val="000000" w:themeColor="text1"/>
          <w:kern w:val="0"/>
          <w:sz w:val="32"/>
          <w:szCs w:val="32"/>
          <w14:textFill>
            <w14:solidFill>
              <w14:schemeClr w14:val="tx1"/>
            </w14:solidFill>
          </w14:textFill>
        </w:rPr>
        <w:t>主管部门对项目进行初审，主管部门形成拟扶持项目方案，领导小组办公室对拟扶持项目进行公示，主管部门形成最终扶持项目方案并报领导小组组长、副组长及主管部门分管区领导签批，主管部门将签批后的扶持项目方案向领导小组办公室报备，主管部门拨付资金。</w:t>
      </w:r>
    </w:p>
    <w:p>
      <w:pPr>
        <w:widowControl/>
        <w:shd w:val="clear" w:color="auto" w:fill="FFFFFF"/>
        <w:spacing w:line="560" w:lineRule="exact"/>
        <w:ind w:firstLine="640" w:firstLineChars="0"/>
        <w:rPr>
          <w:rFonts w:hint="default" w:ascii="仿宋_GB2312" w:hAnsi="Calibri"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Calibri" w:eastAsia="仿宋_GB2312" w:cs="仿宋_GB2312"/>
          <w:color w:val="000000" w:themeColor="text1"/>
          <w:kern w:val="0"/>
          <w:sz w:val="32"/>
          <w:szCs w:val="32"/>
          <w:lang w:val="en-US" w:eastAsia="zh-CN"/>
          <w14:textFill>
            <w14:solidFill>
              <w14:schemeClr w14:val="tx1"/>
            </w14:solidFill>
          </w14:textFill>
        </w:rPr>
        <w:t>2.对于申报对象当年度享受的扶持总额超过其上一年度财政贡献的情形，由主管部门对项目进行初审，主管部门形成拟扶持项目方案，主管部门对拟扶持项目提请领导小组会议研究，领导小组会议提出决策建议，领导小组办公室对拟扶持项目进行公示，主管部门形成最终扶持项目方案并报领导小组组长、副组长及主管部门分管区领导签批，主管部门将签批后的扶持项目方案向领导小组办公室报备，主管部门拨付资金。</w:t>
      </w:r>
    </w:p>
    <w:p>
      <w:pPr>
        <w:widowControl/>
        <w:shd w:val="clear" w:color="auto" w:fill="FFFFFF"/>
        <w:spacing w:line="560" w:lineRule="exact"/>
        <w:ind w:firstLine="640" w:firstLineChars="200"/>
        <w:rPr>
          <w:rFonts w:hint="eastAsia"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lang w:eastAsia="zh-CN"/>
          <w14:textFill>
            <w14:solidFill>
              <w14:schemeClr w14:val="tx1"/>
            </w14:solidFill>
          </w14:textFill>
        </w:rPr>
        <w:t>（二）</w:t>
      </w:r>
      <w:r>
        <w:rPr>
          <w:rFonts w:hint="eastAsia" w:ascii="仿宋_GB2312" w:hAnsi="Calibri" w:eastAsia="仿宋_GB2312" w:cs="仿宋_GB2312"/>
          <w:color w:val="000000" w:themeColor="text1"/>
          <w:kern w:val="0"/>
          <w:sz w:val="32"/>
          <w:szCs w:val="32"/>
          <w14:textFill>
            <w14:solidFill>
              <w14:schemeClr w14:val="tx1"/>
            </w14:solidFill>
          </w14:textFill>
        </w:rPr>
        <w:t>单项扶持金额超过一百万元的核准类项目，按以下程序进行：</w:t>
      </w:r>
    </w:p>
    <w:p>
      <w:pPr>
        <w:widowControl/>
        <w:shd w:val="clear" w:color="auto" w:fill="FFFFFF"/>
        <w:spacing w:line="560" w:lineRule="exact"/>
        <w:ind w:firstLine="640" w:firstLineChars="200"/>
        <w:rPr>
          <w:rFonts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主管部门对项目进行初审，主管部门形成拟扶持项目方案，主管部门对拟扶持项目提请领导小组会议研究，领导小组会议提出决策建议，领导小组办公室对拟扶持项目进行公示，主管部门形成最终扶持项目方案并报领导小组组长、副组长及主管部门分管区领导签批，主管部门将签批后的扶持项目方案向领导小组办公室报备，主管部门拨付资金。</w:t>
      </w:r>
    </w:p>
    <w:p>
      <w:pPr>
        <w:widowControl/>
        <w:shd w:val="clear" w:color="auto" w:fill="FFFFFF"/>
        <w:spacing w:line="560" w:lineRule="exact"/>
        <w:ind w:firstLine="640"/>
        <w:rPr>
          <w:rFonts w:ascii="仿宋_GB2312" w:hAnsi="Calibri"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w:t>
      </w:r>
      <w:r>
        <w:rPr>
          <w:rFonts w:hint="eastAsia" w:ascii="黑体" w:hAnsi="黑体" w:eastAsia="黑体" w:cs="黑体"/>
          <w:color w:val="000000" w:themeColor="text1"/>
          <w:kern w:val="0"/>
          <w:sz w:val="32"/>
          <w:szCs w:val="32"/>
          <w:lang w:eastAsia="zh-CN"/>
          <w14:textFill>
            <w14:solidFill>
              <w14:schemeClr w14:val="tx1"/>
            </w14:solidFill>
          </w14:textFill>
        </w:rPr>
        <w:t>二</w:t>
      </w:r>
      <w:r>
        <w:rPr>
          <w:rFonts w:hint="eastAsia" w:ascii="黑体" w:hAnsi="黑体" w:eastAsia="黑体" w:cs="黑体"/>
          <w:color w:val="000000" w:themeColor="text1"/>
          <w:kern w:val="0"/>
          <w:sz w:val="32"/>
          <w:szCs w:val="32"/>
          <w14:textFill>
            <w14:solidFill>
              <w14:schemeClr w14:val="tx1"/>
            </w14:solidFill>
          </w14:textFill>
        </w:rPr>
        <w:t>十条</w:t>
      </w:r>
      <w:r>
        <w:rPr>
          <w:rFonts w:hint="eastAsia" w:ascii="黑体" w:hAnsi="Calibri" w:eastAsia="黑体" w:cs="黑体"/>
          <w:color w:val="000000" w:themeColor="text1"/>
          <w:kern w:val="0"/>
          <w:sz w:val="32"/>
          <w:szCs w:val="32"/>
          <w14:textFill>
            <w14:solidFill>
              <w14:schemeClr w14:val="tx1"/>
            </w14:solidFill>
          </w14:textFill>
        </w:rPr>
        <w:t xml:space="preserve"> </w:t>
      </w:r>
      <w:r>
        <w:rPr>
          <w:rFonts w:hint="eastAsia" w:ascii="仿宋_GB2312" w:hAnsi="微软雅黑" w:cs="宋体"/>
          <w:color w:val="000000" w:themeColor="text1"/>
          <w:kern w:val="0"/>
          <w:sz w:val="32"/>
          <w:szCs w:val="32"/>
          <w14:textFill>
            <w14:solidFill>
              <w14:schemeClr w14:val="tx1"/>
            </w14:solidFill>
          </w14:textFill>
        </w:rPr>
        <w:t xml:space="preserve"> </w:t>
      </w:r>
      <w:r>
        <w:rPr>
          <w:rFonts w:hint="eastAsia" w:ascii="仿宋_GB2312" w:hAnsi="Calibri" w:eastAsia="仿宋_GB2312" w:cs="仿宋_GB2312"/>
          <w:color w:val="000000" w:themeColor="text1"/>
          <w:kern w:val="0"/>
          <w:sz w:val="32"/>
          <w:szCs w:val="32"/>
          <w14:textFill>
            <w14:solidFill>
              <w14:schemeClr w14:val="tx1"/>
            </w14:solidFill>
          </w14:textFill>
        </w:rPr>
        <w:t>评审类</w:t>
      </w:r>
      <w:r>
        <w:rPr>
          <w:rFonts w:hint="eastAsia" w:ascii="仿宋_GB2312" w:hAnsi="Calibri" w:eastAsia="仿宋_GB2312" w:cs="仿宋_GB2312"/>
          <w:color w:val="000000" w:themeColor="text1"/>
          <w:kern w:val="0"/>
          <w:sz w:val="32"/>
          <w:szCs w:val="32"/>
          <w:lang w:eastAsia="zh-CN"/>
          <w14:textFill>
            <w14:solidFill>
              <w14:schemeClr w14:val="tx1"/>
            </w14:solidFill>
          </w14:textFill>
        </w:rPr>
        <w:t>项目</w:t>
      </w:r>
      <w:r>
        <w:rPr>
          <w:rFonts w:hint="eastAsia" w:ascii="仿宋_GB2312" w:hAnsi="Calibri" w:eastAsia="仿宋_GB2312" w:cs="仿宋_GB2312"/>
          <w:color w:val="000000" w:themeColor="text1"/>
          <w:kern w:val="0"/>
          <w:sz w:val="32"/>
          <w:szCs w:val="32"/>
          <w14:textFill>
            <w14:solidFill>
              <w14:schemeClr w14:val="tx1"/>
            </w14:solidFill>
          </w14:textFill>
        </w:rPr>
        <w:t>审批流程。</w:t>
      </w:r>
    </w:p>
    <w:p>
      <w:pPr>
        <w:widowControl/>
        <w:shd w:val="clear" w:color="auto" w:fill="FFFFFF"/>
        <w:spacing w:line="560" w:lineRule="exact"/>
        <w:ind w:firstLine="640" w:firstLineChars="200"/>
        <w:rPr>
          <w:rFonts w:hint="eastAsia"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lang w:eastAsia="zh-CN"/>
          <w14:textFill>
            <w14:solidFill>
              <w14:schemeClr w14:val="tx1"/>
            </w14:solidFill>
          </w14:textFill>
        </w:rPr>
        <w:t>（一）</w:t>
      </w:r>
      <w:r>
        <w:rPr>
          <w:rFonts w:hint="eastAsia" w:ascii="仿宋_GB2312" w:hAnsi="Calibri" w:eastAsia="仿宋_GB2312" w:cs="仿宋_GB2312"/>
          <w:color w:val="000000" w:themeColor="text1"/>
          <w:kern w:val="0"/>
          <w:sz w:val="32"/>
          <w:szCs w:val="32"/>
          <w14:textFill>
            <w14:solidFill>
              <w14:schemeClr w14:val="tx1"/>
            </w14:solidFill>
          </w14:textFill>
        </w:rPr>
        <w:t>单项扶持金额在一百万元以下的评审类项目，按以下程序进行：</w:t>
      </w:r>
    </w:p>
    <w:p>
      <w:pPr>
        <w:widowControl/>
        <w:shd w:val="clear" w:color="auto" w:fill="FFFFFF"/>
        <w:spacing w:line="560" w:lineRule="exact"/>
        <w:ind w:firstLine="640" w:firstLineChars="200"/>
        <w:rPr>
          <w:rFonts w:hint="eastAsia"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主管部门对项目进行初审，主管部门组织专家评审或集中评审、形成拟扶持项目方案，主管部门对拟扶持项目提请领导小组会议研究，领导小组会议提出决策建议，领导小组办公室对拟扶持项目进行公示，主管部门形成最终扶持项目方案并报领导小组组长、副组长及主管部门分管区领导签批，主管部门将签批后的扶持项目方案向领导小组办公室报备，主管部门拨付资金。</w:t>
      </w:r>
    </w:p>
    <w:p>
      <w:pPr>
        <w:widowControl/>
        <w:shd w:val="clear" w:color="auto" w:fill="FFFFFF"/>
        <w:spacing w:line="560" w:lineRule="exact"/>
        <w:ind w:firstLine="640" w:firstLineChars="200"/>
        <w:rPr>
          <w:rFonts w:hint="eastAsia"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lang w:eastAsia="zh-CN"/>
          <w14:textFill>
            <w14:solidFill>
              <w14:schemeClr w14:val="tx1"/>
            </w14:solidFill>
          </w14:textFill>
        </w:rPr>
        <w:t>（二）</w:t>
      </w:r>
      <w:r>
        <w:rPr>
          <w:rFonts w:hint="eastAsia" w:ascii="仿宋_GB2312" w:hAnsi="Calibri" w:eastAsia="仿宋_GB2312" w:cs="仿宋_GB2312"/>
          <w:color w:val="000000" w:themeColor="text1"/>
          <w:kern w:val="0"/>
          <w:sz w:val="32"/>
          <w:szCs w:val="32"/>
          <w14:textFill>
            <w14:solidFill>
              <w14:schemeClr w14:val="tx1"/>
            </w14:solidFill>
          </w14:textFill>
        </w:rPr>
        <w:t>单项扶持金额超过一百万元的评审类项目，按以下程</w:t>
      </w:r>
    </w:p>
    <w:p>
      <w:pPr>
        <w:widowControl/>
        <w:numPr>
          <w:ilvl w:val="0"/>
          <w:numId w:val="0"/>
        </w:numPr>
        <w:shd w:val="clear" w:color="auto" w:fill="FFFFFF"/>
        <w:spacing w:line="560" w:lineRule="exact"/>
        <w:rPr>
          <w:rFonts w:hint="eastAsia"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序进行：</w:t>
      </w:r>
    </w:p>
    <w:p>
      <w:pPr>
        <w:widowControl/>
        <w:shd w:val="clear" w:color="auto" w:fill="FFFFFF"/>
        <w:spacing w:line="560" w:lineRule="exact"/>
        <w:ind w:firstLine="640" w:firstLineChars="200"/>
        <w:rPr>
          <w:rFonts w:ascii="仿宋_GB2312" w:hAnsi="Calibri" w:eastAsia="仿宋_GB2312" w:cs="仿宋_GB2312"/>
          <w:color w:val="000000" w:themeColor="text1"/>
          <w:kern w:val="0"/>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14:textFill>
            <w14:solidFill>
              <w14:schemeClr w14:val="tx1"/>
            </w14:solidFill>
          </w14:textFill>
        </w:rPr>
        <w:t>主管部门对项目进行初审，主管部门组织专家评审或集中评审、形成拟扶持项目方案，主管部门对拟扶持项目提请领导小组会议研究，领导小组会议提出决策建议，领导小组办公室对拟扶持项目进行公示，主管部门形成最终扶持项目方案并报区长签批，主管部门将签批后的扶持项目方案向领导小组办公室报备，主管部门拨付资金。</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eastAsia="仿宋_GB2312" w:cs="仿宋_GB2312"/>
          <w:color w:val="000000" w:themeColor="text1"/>
          <w:sz w:val="32"/>
          <w:szCs w:val="32"/>
          <w14:textFill>
            <w14:solidFill>
              <w14:schemeClr w14:val="tx1"/>
            </w14:solidFill>
          </w14:textFill>
        </w:rPr>
        <w:t>项目公示流程。</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经核准或评审拟予以扶持的项目，由领导小组办公室组织公示，公示期为五个工作日。公示期内有异议的项目，由领导小组办公室转至分项产业资金主管部门调查核实。经调查认定异议内容属实的，产业资金不予扶持，主管部门需在认定异议属实后的五个工作日内将有关情况反馈给申请企业；经调查异议内容不实的，由主管部门出具项目扶持意见，并予以公告。对于公示期满无异议的项目，以及经调查异议内容不实并确定予以扶持的项目，主管部门在按照产业资金审批流程报请签批后，向领导小组办公室报备，由领导小组办公室发布办理资金拨付手续的通知，并抄送分项产业资金主管部门。</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产业资金管理费用单项在五万元以下的，由主管部门按部门内部流程审批，并向领导小组办公室报备；超过五万元且在十万元以下的，由领导小组组长、副组长签批，并由主管部门向领导小组办公室报备；超过十万元的，由主管部门提请领导小组会议研究，领导小组会议提出决策建议，主管部门完善后报领导小组组长、副组长签批，并由主管部门向领导小组办公室报备。</w:t>
      </w:r>
    </w:p>
    <w:p>
      <w:pPr>
        <w:pStyle w:val="24"/>
        <w:spacing w:line="560" w:lineRule="exact"/>
        <w:jc w:val="both"/>
        <w:rPr>
          <w:color w:val="000000" w:themeColor="text1"/>
          <w:sz w:val="32"/>
          <w:szCs w:val="32"/>
          <w14:textFill>
            <w14:solidFill>
              <w14:schemeClr w14:val="tx1"/>
            </w14:solidFill>
          </w14:textFill>
        </w:rPr>
      </w:pPr>
    </w:p>
    <w:p>
      <w:pPr>
        <w:pStyle w:val="24"/>
        <w:spacing w:afterLines="50"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产业资金的监督</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条</w:t>
      </w:r>
      <w:r>
        <w:rPr>
          <w:rFonts w:hint="eastAsia"/>
          <w:color w:val="000000" w:themeColor="text1"/>
          <w:sz w:val="32"/>
          <w:szCs w:val="32"/>
          <w14:textFill>
            <w14:solidFill>
              <w14:schemeClr w14:val="tx1"/>
            </w14:solidFill>
          </w14:textFill>
        </w:rPr>
        <w:t xml:space="preserve"> </w:t>
      </w:r>
      <w:r>
        <w:rPr>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各主管部门应严格按照本规定管理产业资金，并对扶持项目的开展情况和实施主体发展情况进行跟踪了解。</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产业资金的管理和使用受区审计局的监督。</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企业、机构、单位和个人在申报、执行项目过程中有弄虚作假、未按规定专款专用、拒绝配合监督检查的，由相关主管部门责令其限期改正、追回财政资金并依法追究其法律责任。对被证实存在上述违法违规行为的企业、机构、单位和个人，以及企业或单位法定代表人、实际控制人、机构负责人设立或控制的相关企业、单位、机构，主管部门应在三个工作日内向领导小组办公室报备，由领导小组办公室将其报送相关部门录入失信黑名单，五年内不得申请盐田区相关产业资金的资助。</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对于产业资金管理工作人员违反本规定，不认真履行职责，与受资助对象串通、弄虚作假的，由财政、审计等部门依照有关规定追究相关单位和人员责任，涉嫌违纪违法、犯罪的，移交纪检监察机关依纪依法处理。</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p>
    <w:p>
      <w:pPr>
        <w:pStyle w:val="24"/>
        <w:spacing w:afterLines="50"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第七章 附 则</w:t>
      </w:r>
    </w:p>
    <w:p>
      <w:pPr>
        <w:pStyle w:val="24"/>
        <w:spacing w:line="560" w:lineRule="exact"/>
        <w:ind w:firstLine="640" w:firstLineChars="20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本规定</w:t>
      </w:r>
      <w:r>
        <w:rPr>
          <w:rFonts w:hint="eastAsia" w:ascii="仿宋_GB2312" w:eastAsia="仿宋_GB2312" w:cs="仿宋_GB2312"/>
          <w:color w:val="000000" w:themeColor="text1"/>
          <w:sz w:val="32"/>
          <w:szCs w:val="32"/>
          <w:lang w:eastAsia="zh-CN"/>
          <w14:textFill>
            <w14:solidFill>
              <w14:schemeClr w14:val="tx1"/>
            </w14:solidFill>
          </w14:textFill>
        </w:rPr>
        <w:t>所称</w:t>
      </w:r>
      <w:r>
        <w:rPr>
          <w:rFonts w:hint="eastAsia" w:ascii="仿宋_GB2312" w:eastAsia="仿宋_GB2312" w:cs="仿宋_GB2312"/>
          <w:color w:val="000000" w:themeColor="text1"/>
          <w:sz w:val="32"/>
          <w:szCs w:val="32"/>
          <w14:textFill>
            <w14:solidFill>
              <w14:schemeClr w14:val="tx1"/>
            </w14:solidFill>
          </w14:textFill>
        </w:rPr>
        <w:t>财政贡献</w:t>
      </w:r>
      <w:r>
        <w:rPr>
          <w:rFonts w:hint="eastAsia" w:ascii="仿宋_GB2312" w:eastAsia="仿宋_GB2312" w:cs="仿宋_GB2312"/>
          <w:color w:val="000000" w:themeColor="text1"/>
          <w:sz w:val="32"/>
          <w:szCs w:val="32"/>
          <w:lang w:eastAsia="zh-CN"/>
          <w14:textFill>
            <w14:solidFill>
              <w14:schemeClr w14:val="tx1"/>
            </w14:solidFill>
          </w14:textFill>
        </w:rPr>
        <w:t>是指申报对象在盐田区缴纳的增值税、企业所得税及其他各类税种的税款总额</w:t>
      </w:r>
      <w:r>
        <w:rPr>
          <w:rFonts w:hint="eastAsia" w:ascii="仿宋_GB2312" w:eastAsia="仿宋_GB2312" w:cs="仿宋_GB2312"/>
          <w:color w:val="000000" w:themeColor="text1"/>
          <w:sz w:val="32"/>
          <w:szCs w:val="32"/>
          <w14:textFill>
            <w14:solidFill>
              <w14:schemeClr w14:val="tx1"/>
            </w14:solidFill>
          </w14:textFill>
        </w:rPr>
        <w:t>。</w:t>
      </w:r>
    </w:p>
    <w:p>
      <w:pPr>
        <w:pStyle w:val="24"/>
        <w:spacing w:line="560" w:lineRule="exact"/>
        <w:ind w:firstLine="640" w:firstLineChars="200"/>
        <w:jc w:val="both"/>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本规定所称的“以上”“以下”“未超过”包括本数，“超过”不包括本数</w:t>
      </w:r>
      <w:r>
        <w:rPr>
          <w:rFonts w:hint="eastAsia" w:ascii="仿宋_GB2312" w:eastAsia="仿宋_GB2312" w:cs="仿宋_GB2312"/>
          <w:color w:val="000000" w:themeColor="text1"/>
          <w:sz w:val="32"/>
          <w:szCs w:val="32"/>
          <w:lang w:eastAsia="zh-CN"/>
          <w14:textFill>
            <w14:solidFill>
              <w14:schemeClr w14:val="tx1"/>
            </w14:solidFill>
          </w14:textFill>
        </w:rPr>
        <w:t>；“年度”“每一年度”“上一年度”“当年度”指自然年度</w:t>
      </w:r>
      <w:r>
        <w:rPr>
          <w:rFonts w:hint="eastAsia" w:ascii="仿宋_GB2312" w:eastAsia="仿宋_GB2312" w:cs="仿宋_GB2312"/>
          <w:color w:val="000000" w:themeColor="text1"/>
          <w:sz w:val="32"/>
          <w:szCs w:val="32"/>
          <w14:textFill>
            <w14:solidFill>
              <w14:schemeClr w14:val="tx1"/>
            </w14:solidFill>
          </w14:textFill>
        </w:rPr>
        <w:t>。</w:t>
      </w:r>
    </w:p>
    <w:p>
      <w:pPr>
        <w:pStyle w:val="24"/>
        <w:spacing w:line="560" w:lineRule="exact"/>
        <w:ind w:firstLine="640" w:firstLineChars="200"/>
        <w:jc w:val="both"/>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w:t>
      </w:r>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条</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本规定由区政府授权区工业</w:t>
      </w:r>
      <w:r>
        <w:rPr>
          <w:rFonts w:ascii="仿宋_GB2312" w:eastAsia="仿宋_GB2312" w:cs="仿宋_GB2312"/>
          <w:color w:val="000000" w:themeColor="text1"/>
          <w:sz w:val="32"/>
          <w:szCs w:val="32"/>
          <w14:textFill>
            <w14:solidFill>
              <w14:schemeClr w14:val="tx1"/>
            </w14:solidFill>
          </w14:textFill>
        </w:rPr>
        <w:t>和信息化局</w:t>
      </w:r>
      <w:r>
        <w:rPr>
          <w:rFonts w:hint="eastAsia" w:ascii="仿宋_GB2312" w:eastAsia="仿宋_GB2312" w:cs="仿宋_GB2312"/>
          <w:color w:val="000000" w:themeColor="text1"/>
          <w:sz w:val="32"/>
          <w:szCs w:val="32"/>
          <w14:textFill>
            <w14:solidFill>
              <w14:schemeClr w14:val="tx1"/>
            </w14:solidFill>
          </w14:textFill>
        </w:rPr>
        <w:t>负责解释。</w:t>
      </w:r>
    </w:p>
    <w:p>
      <w:pPr>
        <w:spacing w:line="560" w:lineRule="exact"/>
        <w:ind w:firstLine="640" w:firstLineChars="200"/>
        <w:contextualSpacing/>
        <w:rPr>
          <w:rFonts w:ascii="华文中宋" w:hAnsi="华文中宋" w:eastAsia="华文中宋" w:cs="仿宋_GB2312"/>
          <w:color w:val="000000"/>
          <w:sz w:val="32"/>
          <w:szCs w:val="32"/>
        </w:rPr>
      </w:pPr>
      <w:r>
        <w:rPr>
          <w:rFonts w:hint="eastAsia" w:ascii="黑体" w:hAnsi="Calibri" w:eastAsia="黑体" w:cs="黑体"/>
          <w:color w:val="000000" w:themeColor="text1"/>
          <w:kern w:val="0"/>
          <w:sz w:val="32"/>
          <w:szCs w:val="32"/>
          <w14:textFill>
            <w14:solidFill>
              <w14:schemeClr w14:val="tx1"/>
            </w14:solidFill>
          </w14:textFill>
        </w:rPr>
        <w:t>第</w:t>
      </w:r>
      <w:r>
        <w:rPr>
          <w:rFonts w:hint="eastAsia" w:ascii="黑体" w:hAnsi="Calibri" w:eastAsia="黑体" w:cs="黑体"/>
          <w:color w:val="000000" w:themeColor="text1"/>
          <w:kern w:val="0"/>
          <w:sz w:val="32"/>
          <w:szCs w:val="32"/>
          <w:lang w:eastAsia="zh-CN"/>
          <w14:textFill>
            <w14:solidFill>
              <w14:schemeClr w14:val="tx1"/>
            </w14:solidFill>
          </w14:textFill>
        </w:rPr>
        <w:t>三</w:t>
      </w:r>
      <w:r>
        <w:rPr>
          <w:rFonts w:hint="eastAsia" w:ascii="黑体" w:hAnsi="Calibri" w:eastAsia="黑体" w:cs="黑体"/>
          <w:color w:val="000000" w:themeColor="text1"/>
          <w:kern w:val="0"/>
          <w:sz w:val="32"/>
          <w:szCs w:val="32"/>
          <w14:textFill>
            <w14:solidFill>
              <w14:schemeClr w14:val="tx1"/>
            </w14:solidFill>
          </w14:textFill>
        </w:rPr>
        <w:t>十条</w:t>
      </w:r>
      <w:r>
        <w:rPr>
          <w:rFonts w:hint="eastAsia" w:ascii="仿宋_GB2312" w:hAnsi="Calibri" w:eastAsia="仿宋_GB2312" w:cs="仿宋_GB2312"/>
          <w:color w:val="000000" w:themeColor="text1"/>
          <w:kern w:val="0"/>
          <w:sz w:val="32"/>
          <w:szCs w:val="32"/>
          <w14:textFill>
            <w14:solidFill>
              <w14:schemeClr w14:val="tx1"/>
            </w14:solidFill>
          </w14:textFill>
        </w:rPr>
        <w:t xml:space="preserve">  本规定自</w:t>
      </w:r>
      <w:r>
        <w:rPr>
          <w:rFonts w:hint="eastAsia" w:ascii="仿宋_GB2312" w:hAnsi="Calibri" w:eastAsia="仿宋_GB2312" w:cs="仿宋_GB2312"/>
          <w:color w:val="000000" w:themeColor="text1"/>
          <w:kern w:val="0"/>
          <w:sz w:val="32"/>
          <w:szCs w:val="32"/>
          <w:u w:val="none"/>
          <w14:textFill>
            <w14:solidFill>
              <w14:schemeClr w14:val="tx1"/>
            </w14:solidFill>
          </w14:textFill>
        </w:rPr>
        <w:t>2020年</w:t>
      </w:r>
      <w:r>
        <w:rPr>
          <w:rFonts w:hint="eastAsia" w:ascii="仿宋_GB2312" w:hAnsi="Calibri" w:eastAsia="仿宋_GB2312" w:cs="仿宋_GB2312"/>
          <w:color w:val="000000" w:themeColor="text1"/>
          <w:kern w:val="0"/>
          <w:sz w:val="32"/>
          <w:szCs w:val="32"/>
          <w:u w:val="none"/>
          <w:lang w:val="en-US" w:eastAsia="zh-CN"/>
          <w14:textFill>
            <w14:solidFill>
              <w14:schemeClr w14:val="tx1"/>
            </w14:solidFill>
          </w14:textFill>
        </w:rPr>
        <w:t>5</w:t>
      </w:r>
      <w:r>
        <w:rPr>
          <w:rFonts w:hint="eastAsia" w:ascii="仿宋_GB2312" w:hAnsi="Calibri" w:eastAsia="仿宋_GB2312" w:cs="仿宋_GB2312"/>
          <w:color w:val="000000" w:themeColor="text1"/>
          <w:kern w:val="0"/>
          <w:sz w:val="32"/>
          <w:szCs w:val="32"/>
          <w:u w:val="none"/>
          <w14:textFill>
            <w14:solidFill>
              <w14:schemeClr w14:val="tx1"/>
            </w14:solidFill>
          </w14:textFill>
        </w:rPr>
        <w:t>月</w:t>
      </w:r>
      <w:r>
        <w:rPr>
          <w:rFonts w:hint="eastAsia" w:ascii="仿宋_GB2312" w:hAnsi="Calibri" w:eastAsia="仿宋_GB2312" w:cs="仿宋_GB2312"/>
          <w:color w:val="000000" w:themeColor="text1"/>
          <w:kern w:val="0"/>
          <w:sz w:val="32"/>
          <w:szCs w:val="32"/>
          <w:u w:val="none"/>
          <w:lang w:val="en-US" w:eastAsia="zh-CN"/>
          <w14:textFill>
            <w14:solidFill>
              <w14:schemeClr w14:val="tx1"/>
            </w14:solidFill>
          </w14:textFill>
        </w:rPr>
        <w:t>3</w:t>
      </w:r>
      <w:r>
        <w:rPr>
          <w:rFonts w:hint="eastAsia" w:ascii="仿宋_GB2312" w:hAnsi="Calibri" w:eastAsia="仿宋_GB2312" w:cs="仿宋_GB2312"/>
          <w:color w:val="000000" w:themeColor="text1"/>
          <w:kern w:val="0"/>
          <w:sz w:val="32"/>
          <w:szCs w:val="32"/>
          <w:u w:val="none"/>
          <w14:textFill>
            <w14:solidFill>
              <w14:schemeClr w14:val="tx1"/>
            </w14:solidFill>
          </w14:textFill>
        </w:rPr>
        <w:t>日起施</w:t>
      </w:r>
      <w:r>
        <w:rPr>
          <w:rFonts w:hint="eastAsia" w:ascii="仿宋_GB2312" w:hAnsi="Calibri" w:eastAsia="仿宋_GB2312" w:cs="仿宋_GB2312"/>
          <w:color w:val="000000" w:themeColor="text1"/>
          <w:kern w:val="0"/>
          <w:sz w:val="32"/>
          <w:szCs w:val="32"/>
          <w14:textFill>
            <w14:solidFill>
              <w14:schemeClr w14:val="tx1"/>
            </w14:solidFill>
          </w14:textFill>
        </w:rPr>
        <w:t>行，有效期五年。《深圳市盐田区人民政府关于印发盐田区产业发展资金管理规定（2019年修订）的通知》（深盐府规</w:t>
      </w:r>
      <w:r>
        <w:rPr>
          <w:rFonts w:hint="eastAsia" w:ascii="仿宋_GB2312" w:eastAsia="仿宋_GB2312"/>
          <w:color w:val="000000" w:themeColor="text1"/>
          <w:sz w:val="32"/>
          <w:szCs w:val="32"/>
          <w14:textFill>
            <w14:solidFill>
              <w14:schemeClr w14:val="tx1"/>
            </w14:solidFill>
          </w14:textFill>
        </w:rPr>
        <w:t>〔2019〕3</w:t>
      </w:r>
      <w:r>
        <w:rPr>
          <w:rFonts w:hint="eastAsia" w:ascii="仿宋_GB2312" w:hAnsi="Calibri" w:eastAsia="仿宋_GB2312" w:cs="仿宋_GB2312"/>
          <w:color w:val="000000" w:themeColor="text1"/>
          <w:kern w:val="0"/>
          <w:sz w:val="32"/>
          <w:szCs w:val="32"/>
          <w14:textFill>
            <w14:solidFill>
              <w14:schemeClr w14:val="tx1"/>
            </w14:solidFill>
          </w14:textFill>
        </w:rPr>
        <w:t>号）同时废止</w:t>
      </w:r>
      <w:r>
        <w:rPr>
          <w:rFonts w:hint="eastAsia" w:ascii="仿宋_GB2312" w:hAnsi="Calibri" w:eastAsia="仿宋_GB2312" w:cs="Calibri"/>
          <w:color w:val="000000" w:themeColor="text1"/>
          <w:kern w:val="0"/>
          <w:sz w:val="32"/>
          <w:szCs w:val="32"/>
          <w14:textFill>
            <w14:solidFill>
              <w14:schemeClr w14:val="tx1"/>
            </w14:solidFill>
          </w14:textFill>
        </w:rPr>
        <w:t>。</w:t>
      </w:r>
    </w:p>
    <w:p>
      <w:pPr>
        <w:spacing w:line="560" w:lineRule="exact"/>
        <w:rPr>
          <w:rFonts w:ascii="华文中宋" w:hAnsi="华文中宋" w:eastAsia="华文中宋" w:cs="仿宋_GB2312"/>
          <w:color w:val="000000"/>
          <w:sz w:val="32"/>
          <w:szCs w:val="32"/>
        </w:rPr>
      </w:pPr>
    </w:p>
    <w:p>
      <w:pPr>
        <w:spacing w:afterLines="10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afterLines="50" w:line="580" w:lineRule="exact"/>
        <w:rPr>
          <w:rFonts w:ascii="华文中宋" w:hAnsi="华文中宋" w:eastAsia="华文中宋" w:cs="仿宋_GB2312"/>
          <w:color w:val="000000"/>
          <w:sz w:val="32"/>
          <w:szCs w:val="32"/>
        </w:rPr>
      </w:pPr>
    </w:p>
    <w:p>
      <w:pPr>
        <w:spacing w:line="580" w:lineRule="exact"/>
        <w:rPr>
          <w:rFonts w:ascii="仿宋_GB2312" w:hAnsi="华文中宋" w:eastAsia="仿宋_GB2312"/>
          <w:color w:val="000000"/>
          <w:sz w:val="32"/>
          <w:szCs w:val="32"/>
        </w:rPr>
      </w:pPr>
      <w:r>
        <w:rPr>
          <w:rFonts w:hint="eastAsia" w:ascii="黑体" w:hAnsi="华文中宋" w:eastAsia="黑体"/>
          <w:color w:val="000000"/>
          <w:sz w:val="32"/>
          <w:szCs w:val="32"/>
        </w:rPr>
        <w:t>公开方式：</w:t>
      </w:r>
      <w:r>
        <w:rPr>
          <w:rFonts w:hint="eastAsia" w:ascii="仿宋_GB2312" w:hAnsi="华文中宋" w:eastAsia="仿宋_GB2312"/>
          <w:color w:val="000000"/>
          <w:sz w:val="32"/>
          <w:szCs w:val="32"/>
        </w:rPr>
        <w:t>主动公开</w:t>
      </w:r>
    </w:p>
    <w:p>
      <w:pPr>
        <w:spacing w:line="580" w:lineRule="exact"/>
        <w:rPr>
          <w:rFonts w:ascii="仿宋_GB2312" w:hAnsi="华文中宋" w:eastAsia="仿宋_GB2312"/>
          <w:color w:val="000000"/>
          <w:sz w:val="32"/>
          <w:szCs w:val="32"/>
        </w:rPr>
      </w:pPr>
    </w:p>
    <w:p>
      <w:pPr>
        <w:pBdr>
          <w:top w:val="single" w:color="auto" w:sz="8" w:space="1"/>
          <w:left w:val="none" w:color="auto" w:sz="0" w:space="4"/>
          <w:bottom w:val="single" w:color="auto" w:sz="8" w:space="1"/>
          <w:right w:val="none" w:color="auto" w:sz="0" w:space="4"/>
          <w:between w:val="single" w:color="auto" w:sz="4" w:space="0"/>
        </w:pBdr>
        <w:ind w:firstLine="140" w:firstLineChars="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深圳市盐田区人民政府办公室                2020年</w:t>
      </w:r>
      <w:r>
        <w:rPr>
          <w:rFonts w:hint="eastAsia" w:ascii="仿宋_GB2312" w:hAnsi="宋体" w:eastAsia="仿宋_GB2312" w:cs="仿宋_GB2312"/>
          <w:color w:val="000000"/>
          <w:sz w:val="28"/>
          <w:szCs w:val="28"/>
        </w:rPr>
        <w:t>4</w:t>
      </w:r>
      <w:r>
        <w:rPr>
          <w:rFonts w:hint="eastAsia" w:ascii="仿宋_GB2312" w:hAnsi="仿宋_GB2312" w:eastAsia="仿宋_GB2312" w:cs="仿宋_GB2312"/>
          <w:color w:val="000000"/>
          <w:sz w:val="28"/>
          <w:szCs w:val="28"/>
        </w:rPr>
        <w:t>月</w:t>
      </w:r>
      <w:r>
        <w:rPr>
          <w:rFonts w:hint="eastAsia" w:ascii="仿宋_GB2312" w:hAnsi="宋体" w:eastAsia="仿宋_GB2312" w:cs="仿宋_GB2312"/>
          <w:color w:val="000000"/>
          <w:sz w:val="28"/>
          <w:szCs w:val="28"/>
          <w:lang w:val="en-US" w:eastAsia="zh-CN"/>
        </w:rPr>
        <w:t>23</w:t>
      </w:r>
      <w:r>
        <w:rPr>
          <w:rFonts w:hint="eastAsia" w:ascii="仿宋_GB2312" w:hAnsi="仿宋_GB2312" w:eastAsia="仿宋_GB2312" w:cs="仿宋_GB2312"/>
          <w:color w:val="000000"/>
          <w:sz w:val="28"/>
          <w:szCs w:val="28"/>
        </w:rPr>
        <w:t>日印发</w:t>
      </w:r>
    </w:p>
    <w:sectPr>
      <w:footerReference r:id="rId4" w:type="default"/>
      <w:headerReference r:id="rId3" w:type="even"/>
      <w:footerReference r:id="rId5" w:type="even"/>
      <w:pgSz w:w="11906" w:h="16838"/>
      <w:pgMar w:top="1985" w:right="1474" w:bottom="1531" w:left="1588" w:header="851" w:footer="1191"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大标宋简体">
    <w:altName w:val="Arial Unicode MS"/>
    <w:panose1 w:val="03000509000000000000"/>
    <w:charset w:val="86"/>
    <w:family w:val="script"/>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111" w:h="435" w:hRule="exact" w:wrap="around" w:vAnchor="text" w:hAnchor="page" w:x="9492" w:y="101"/>
      <w:rPr>
        <w:rStyle w:val="17"/>
        <w:rFonts w:ascii="Batang" w:hAnsi="Batang" w:eastAsia="Batang"/>
        <w:b/>
        <w:sz w:val="26"/>
        <w:szCs w:val="26"/>
      </w:rPr>
    </w:pPr>
    <w:r>
      <w:rPr>
        <w:rStyle w:val="17"/>
        <w:rFonts w:hint="eastAsia" w:ascii="Batang" w:hAnsi="Batang" w:eastAsia="Batang"/>
        <w:b/>
        <w:sz w:val="26"/>
        <w:szCs w:val="26"/>
      </w:rPr>
      <w:t xml:space="preserve">— </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1</w:t>
    </w:r>
    <w:r>
      <w:rPr>
        <w:rStyle w:val="17"/>
        <w:rFonts w:ascii="宋体" w:hAnsi="宋体"/>
        <w:sz w:val="28"/>
        <w:szCs w:val="28"/>
      </w:rPr>
      <w:fldChar w:fldCharType="end"/>
    </w:r>
    <w:r>
      <w:rPr>
        <w:rStyle w:val="17"/>
        <w:rFonts w:hint="eastAsia" w:ascii="Batang" w:hAnsi="Batang" w:eastAsia="Batang"/>
        <w:b/>
        <w:sz w:val="26"/>
        <w:szCs w:val="26"/>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1633" w:y="41"/>
      <w:rPr>
        <w:rStyle w:val="17"/>
        <w:rFonts w:ascii="Batang" w:hAnsi="Batang" w:eastAsia="Batang"/>
        <w:b/>
        <w:sz w:val="26"/>
        <w:szCs w:val="26"/>
      </w:rPr>
    </w:pPr>
    <w:r>
      <w:rPr>
        <w:rStyle w:val="17"/>
        <w:rFonts w:hint="eastAsia" w:ascii="Batang" w:hAnsi="Batang" w:eastAsia="Batang"/>
        <w:b/>
        <w:sz w:val="26"/>
        <w:szCs w:val="26"/>
      </w:rPr>
      <w:t xml:space="preserve">— </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2</w:t>
    </w:r>
    <w:r>
      <w:rPr>
        <w:rStyle w:val="17"/>
        <w:rFonts w:ascii="宋体" w:hAnsi="宋体"/>
        <w:sz w:val="28"/>
        <w:szCs w:val="28"/>
      </w:rPr>
      <w:fldChar w:fldCharType="end"/>
    </w:r>
    <w:r>
      <w:rPr>
        <w:rStyle w:val="17"/>
        <w:rFonts w:hint="eastAsia" w:ascii="Batang" w:hAnsi="Batang" w:eastAsia="Batang"/>
        <w:b/>
        <w:sz w:val="26"/>
        <w:szCs w:val="26"/>
      </w:rPr>
      <w:t xml:space="preserve"> —</w: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revisionView w:markup="0"/>
  <w:documentProtection w:edit="readOnly"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d365f956a76b26bb3926588abf96d55a@31631&amp;webOffice=1&amp;identityId=470AA21D0D5051C9FD4194DAA9A5B1D0&amp;token=9de15ffc39444c9cb936f8ed6f07c16c&amp;identityId=470AA21D0D5051C9FD4194DAA9A5B1D0&amp;wjbh=B202005472&amp;hddyid=LCA010001_HD_01&amp;fileSrcName=2020_04_28_17_18_14_80BF014463FA5B08321786191C1494FB.docx"/>
  </w:docVars>
  <w:rsids>
    <w:rsidRoot w:val="000231F8"/>
    <w:rsid w:val="000000D2"/>
    <w:rsid w:val="00011DA9"/>
    <w:rsid w:val="00011FAC"/>
    <w:rsid w:val="000231F8"/>
    <w:rsid w:val="000264EC"/>
    <w:rsid w:val="00033B3D"/>
    <w:rsid w:val="000405A1"/>
    <w:rsid w:val="00041E1E"/>
    <w:rsid w:val="00047203"/>
    <w:rsid w:val="00047C6D"/>
    <w:rsid w:val="00051425"/>
    <w:rsid w:val="0005687A"/>
    <w:rsid w:val="000700CC"/>
    <w:rsid w:val="00073FEE"/>
    <w:rsid w:val="00075BA9"/>
    <w:rsid w:val="0007765D"/>
    <w:rsid w:val="00081F30"/>
    <w:rsid w:val="00082373"/>
    <w:rsid w:val="0008694B"/>
    <w:rsid w:val="000869B5"/>
    <w:rsid w:val="0009149B"/>
    <w:rsid w:val="0009434B"/>
    <w:rsid w:val="000A353B"/>
    <w:rsid w:val="000A3CAD"/>
    <w:rsid w:val="000A6832"/>
    <w:rsid w:val="000A6F35"/>
    <w:rsid w:val="000B197C"/>
    <w:rsid w:val="000B3978"/>
    <w:rsid w:val="000C7D3B"/>
    <w:rsid w:val="000D15CF"/>
    <w:rsid w:val="000D196D"/>
    <w:rsid w:val="000D2472"/>
    <w:rsid w:val="000D33B1"/>
    <w:rsid w:val="000D49BE"/>
    <w:rsid w:val="000F0FEE"/>
    <w:rsid w:val="000F4E90"/>
    <w:rsid w:val="000F671B"/>
    <w:rsid w:val="00103290"/>
    <w:rsid w:val="00106188"/>
    <w:rsid w:val="00116697"/>
    <w:rsid w:val="00123080"/>
    <w:rsid w:val="00123C35"/>
    <w:rsid w:val="0013251B"/>
    <w:rsid w:val="00141B80"/>
    <w:rsid w:val="001461ED"/>
    <w:rsid w:val="00147305"/>
    <w:rsid w:val="00163E01"/>
    <w:rsid w:val="00173CDB"/>
    <w:rsid w:val="001814C4"/>
    <w:rsid w:val="00181788"/>
    <w:rsid w:val="00190EC8"/>
    <w:rsid w:val="00195712"/>
    <w:rsid w:val="001A7908"/>
    <w:rsid w:val="001B043E"/>
    <w:rsid w:val="001B54E6"/>
    <w:rsid w:val="001B7EB2"/>
    <w:rsid w:val="001C44C7"/>
    <w:rsid w:val="001C4BCF"/>
    <w:rsid w:val="001E50CE"/>
    <w:rsid w:val="001E5669"/>
    <w:rsid w:val="001F42A9"/>
    <w:rsid w:val="001F552B"/>
    <w:rsid w:val="00204C04"/>
    <w:rsid w:val="00206362"/>
    <w:rsid w:val="002130DA"/>
    <w:rsid w:val="0022235F"/>
    <w:rsid w:val="002328AA"/>
    <w:rsid w:val="002343DE"/>
    <w:rsid w:val="00240CE1"/>
    <w:rsid w:val="00250693"/>
    <w:rsid w:val="00252071"/>
    <w:rsid w:val="00253FE1"/>
    <w:rsid w:val="0027269A"/>
    <w:rsid w:val="00273A18"/>
    <w:rsid w:val="00277131"/>
    <w:rsid w:val="00281A77"/>
    <w:rsid w:val="00281BFE"/>
    <w:rsid w:val="0028747D"/>
    <w:rsid w:val="00293B01"/>
    <w:rsid w:val="002A47DE"/>
    <w:rsid w:val="002B227C"/>
    <w:rsid w:val="002C45ED"/>
    <w:rsid w:val="002D67C0"/>
    <w:rsid w:val="002E16B3"/>
    <w:rsid w:val="002E3FE2"/>
    <w:rsid w:val="002F1D65"/>
    <w:rsid w:val="00306A07"/>
    <w:rsid w:val="00307769"/>
    <w:rsid w:val="00317345"/>
    <w:rsid w:val="00317A32"/>
    <w:rsid w:val="003209CD"/>
    <w:rsid w:val="003237E7"/>
    <w:rsid w:val="0033483C"/>
    <w:rsid w:val="00336E02"/>
    <w:rsid w:val="00337604"/>
    <w:rsid w:val="00342706"/>
    <w:rsid w:val="00345605"/>
    <w:rsid w:val="003537C8"/>
    <w:rsid w:val="00357038"/>
    <w:rsid w:val="003612BD"/>
    <w:rsid w:val="00372CF5"/>
    <w:rsid w:val="00377C39"/>
    <w:rsid w:val="00382889"/>
    <w:rsid w:val="00386640"/>
    <w:rsid w:val="00387901"/>
    <w:rsid w:val="00392121"/>
    <w:rsid w:val="003A6891"/>
    <w:rsid w:val="003A7CF0"/>
    <w:rsid w:val="003B5CB0"/>
    <w:rsid w:val="003D0033"/>
    <w:rsid w:val="003D346F"/>
    <w:rsid w:val="003E027E"/>
    <w:rsid w:val="003E432A"/>
    <w:rsid w:val="003F121B"/>
    <w:rsid w:val="003F6754"/>
    <w:rsid w:val="003F7211"/>
    <w:rsid w:val="00403A48"/>
    <w:rsid w:val="00403A7C"/>
    <w:rsid w:val="00412821"/>
    <w:rsid w:val="0041686A"/>
    <w:rsid w:val="00417A03"/>
    <w:rsid w:val="004231BA"/>
    <w:rsid w:val="00433557"/>
    <w:rsid w:val="00434E1A"/>
    <w:rsid w:val="00442C34"/>
    <w:rsid w:val="004443F8"/>
    <w:rsid w:val="0046388E"/>
    <w:rsid w:val="00467235"/>
    <w:rsid w:val="004A1895"/>
    <w:rsid w:val="004A227B"/>
    <w:rsid w:val="004A5D0D"/>
    <w:rsid w:val="004A735E"/>
    <w:rsid w:val="004B1E00"/>
    <w:rsid w:val="004B45DB"/>
    <w:rsid w:val="004B5D57"/>
    <w:rsid w:val="004C148B"/>
    <w:rsid w:val="004C5AB9"/>
    <w:rsid w:val="004C6A14"/>
    <w:rsid w:val="004D67C2"/>
    <w:rsid w:val="004E099E"/>
    <w:rsid w:val="004E1661"/>
    <w:rsid w:val="004F428F"/>
    <w:rsid w:val="004F5BA7"/>
    <w:rsid w:val="004F766B"/>
    <w:rsid w:val="0050219F"/>
    <w:rsid w:val="00503388"/>
    <w:rsid w:val="00505673"/>
    <w:rsid w:val="00515AD6"/>
    <w:rsid w:val="00516025"/>
    <w:rsid w:val="005305FF"/>
    <w:rsid w:val="00531041"/>
    <w:rsid w:val="00534F39"/>
    <w:rsid w:val="0055440E"/>
    <w:rsid w:val="005623C3"/>
    <w:rsid w:val="005650F3"/>
    <w:rsid w:val="00567EB0"/>
    <w:rsid w:val="005740D6"/>
    <w:rsid w:val="005745DD"/>
    <w:rsid w:val="00574CEC"/>
    <w:rsid w:val="00582591"/>
    <w:rsid w:val="00584C3E"/>
    <w:rsid w:val="00585A54"/>
    <w:rsid w:val="0059305A"/>
    <w:rsid w:val="00593EDC"/>
    <w:rsid w:val="00597B8B"/>
    <w:rsid w:val="00597E4B"/>
    <w:rsid w:val="005B5EAC"/>
    <w:rsid w:val="005C1EA3"/>
    <w:rsid w:val="005C46C8"/>
    <w:rsid w:val="005D6863"/>
    <w:rsid w:val="005E194A"/>
    <w:rsid w:val="005E1B0B"/>
    <w:rsid w:val="005E1B3D"/>
    <w:rsid w:val="005E5A88"/>
    <w:rsid w:val="005E7476"/>
    <w:rsid w:val="005F1167"/>
    <w:rsid w:val="005F1F48"/>
    <w:rsid w:val="005F3D78"/>
    <w:rsid w:val="005F55A3"/>
    <w:rsid w:val="006050C4"/>
    <w:rsid w:val="00611A8E"/>
    <w:rsid w:val="006128E9"/>
    <w:rsid w:val="0062197D"/>
    <w:rsid w:val="00630E25"/>
    <w:rsid w:val="006353A9"/>
    <w:rsid w:val="00640AD1"/>
    <w:rsid w:val="006417AF"/>
    <w:rsid w:val="00647045"/>
    <w:rsid w:val="00651F7D"/>
    <w:rsid w:val="00652F72"/>
    <w:rsid w:val="006544F6"/>
    <w:rsid w:val="0065547C"/>
    <w:rsid w:val="00656249"/>
    <w:rsid w:val="006641DD"/>
    <w:rsid w:val="00664712"/>
    <w:rsid w:val="00666F29"/>
    <w:rsid w:val="00677E1A"/>
    <w:rsid w:val="00680AEE"/>
    <w:rsid w:val="0068278A"/>
    <w:rsid w:val="00685489"/>
    <w:rsid w:val="006866B0"/>
    <w:rsid w:val="00686886"/>
    <w:rsid w:val="00691A47"/>
    <w:rsid w:val="006933A7"/>
    <w:rsid w:val="006A394C"/>
    <w:rsid w:val="006B057B"/>
    <w:rsid w:val="006B14C0"/>
    <w:rsid w:val="006B2076"/>
    <w:rsid w:val="006B77C1"/>
    <w:rsid w:val="006C13F1"/>
    <w:rsid w:val="006D0481"/>
    <w:rsid w:val="006D6DF3"/>
    <w:rsid w:val="006E3C39"/>
    <w:rsid w:val="007024F3"/>
    <w:rsid w:val="00703054"/>
    <w:rsid w:val="00706730"/>
    <w:rsid w:val="00716312"/>
    <w:rsid w:val="007171AF"/>
    <w:rsid w:val="00721A28"/>
    <w:rsid w:val="00721FDF"/>
    <w:rsid w:val="00722937"/>
    <w:rsid w:val="00722C98"/>
    <w:rsid w:val="00725EF0"/>
    <w:rsid w:val="00725F97"/>
    <w:rsid w:val="00731CF1"/>
    <w:rsid w:val="00735528"/>
    <w:rsid w:val="00741BE4"/>
    <w:rsid w:val="00751959"/>
    <w:rsid w:val="00757171"/>
    <w:rsid w:val="007628D4"/>
    <w:rsid w:val="00767598"/>
    <w:rsid w:val="007813A7"/>
    <w:rsid w:val="007B31FC"/>
    <w:rsid w:val="007C1359"/>
    <w:rsid w:val="007C6128"/>
    <w:rsid w:val="007D37A9"/>
    <w:rsid w:val="007E0D77"/>
    <w:rsid w:val="007E17AE"/>
    <w:rsid w:val="007F3E4B"/>
    <w:rsid w:val="007F7B40"/>
    <w:rsid w:val="00804357"/>
    <w:rsid w:val="0082101B"/>
    <w:rsid w:val="00832F65"/>
    <w:rsid w:val="00834D19"/>
    <w:rsid w:val="008409D8"/>
    <w:rsid w:val="00844B73"/>
    <w:rsid w:val="008552B2"/>
    <w:rsid w:val="00855901"/>
    <w:rsid w:val="00873753"/>
    <w:rsid w:val="00877A64"/>
    <w:rsid w:val="00887A25"/>
    <w:rsid w:val="0089163B"/>
    <w:rsid w:val="00891CB1"/>
    <w:rsid w:val="008A129D"/>
    <w:rsid w:val="008A22EB"/>
    <w:rsid w:val="008A7DC5"/>
    <w:rsid w:val="008B1F08"/>
    <w:rsid w:val="008B2AC7"/>
    <w:rsid w:val="008B39EF"/>
    <w:rsid w:val="008B5D60"/>
    <w:rsid w:val="008C327A"/>
    <w:rsid w:val="008C48E1"/>
    <w:rsid w:val="008C56DA"/>
    <w:rsid w:val="008C5E11"/>
    <w:rsid w:val="008C6684"/>
    <w:rsid w:val="008C68C8"/>
    <w:rsid w:val="008C724B"/>
    <w:rsid w:val="008D52CC"/>
    <w:rsid w:val="008D6E24"/>
    <w:rsid w:val="008D7D6C"/>
    <w:rsid w:val="008E1ED1"/>
    <w:rsid w:val="008F1478"/>
    <w:rsid w:val="00922CCA"/>
    <w:rsid w:val="009326FF"/>
    <w:rsid w:val="00934038"/>
    <w:rsid w:val="009458C8"/>
    <w:rsid w:val="0094672B"/>
    <w:rsid w:val="009471F9"/>
    <w:rsid w:val="00951917"/>
    <w:rsid w:val="00960FE1"/>
    <w:rsid w:val="00964B0C"/>
    <w:rsid w:val="00965707"/>
    <w:rsid w:val="0097454A"/>
    <w:rsid w:val="00977E5B"/>
    <w:rsid w:val="00994C9D"/>
    <w:rsid w:val="009A2302"/>
    <w:rsid w:val="009A28A2"/>
    <w:rsid w:val="009A5DB8"/>
    <w:rsid w:val="009B2613"/>
    <w:rsid w:val="009B3756"/>
    <w:rsid w:val="009C0AD7"/>
    <w:rsid w:val="009D15DB"/>
    <w:rsid w:val="009D163A"/>
    <w:rsid w:val="009E5DF9"/>
    <w:rsid w:val="009E7466"/>
    <w:rsid w:val="009F0F4B"/>
    <w:rsid w:val="009F1C11"/>
    <w:rsid w:val="009F2C87"/>
    <w:rsid w:val="009F50FB"/>
    <w:rsid w:val="00A0405D"/>
    <w:rsid w:val="00A10251"/>
    <w:rsid w:val="00A17956"/>
    <w:rsid w:val="00A21DF6"/>
    <w:rsid w:val="00A2264E"/>
    <w:rsid w:val="00A30B87"/>
    <w:rsid w:val="00A31E4F"/>
    <w:rsid w:val="00A356F7"/>
    <w:rsid w:val="00A37492"/>
    <w:rsid w:val="00A4192C"/>
    <w:rsid w:val="00A5531B"/>
    <w:rsid w:val="00A564A0"/>
    <w:rsid w:val="00A61BCA"/>
    <w:rsid w:val="00A80692"/>
    <w:rsid w:val="00A9209D"/>
    <w:rsid w:val="00AB5792"/>
    <w:rsid w:val="00AD6B88"/>
    <w:rsid w:val="00AE118E"/>
    <w:rsid w:val="00AE74DB"/>
    <w:rsid w:val="00B067D8"/>
    <w:rsid w:val="00B2499F"/>
    <w:rsid w:val="00B316DF"/>
    <w:rsid w:val="00B35144"/>
    <w:rsid w:val="00B374E5"/>
    <w:rsid w:val="00B76EA2"/>
    <w:rsid w:val="00B81D4D"/>
    <w:rsid w:val="00B83234"/>
    <w:rsid w:val="00B90D9D"/>
    <w:rsid w:val="00B97D1B"/>
    <w:rsid w:val="00BA1E12"/>
    <w:rsid w:val="00BB2CC0"/>
    <w:rsid w:val="00BC20E2"/>
    <w:rsid w:val="00BD5992"/>
    <w:rsid w:val="00BD6754"/>
    <w:rsid w:val="00BE7BAD"/>
    <w:rsid w:val="00C02135"/>
    <w:rsid w:val="00C02EB0"/>
    <w:rsid w:val="00C13AE4"/>
    <w:rsid w:val="00C144B3"/>
    <w:rsid w:val="00C1489C"/>
    <w:rsid w:val="00C2735F"/>
    <w:rsid w:val="00C360B2"/>
    <w:rsid w:val="00C47669"/>
    <w:rsid w:val="00C563CB"/>
    <w:rsid w:val="00C56537"/>
    <w:rsid w:val="00C60D94"/>
    <w:rsid w:val="00C62FA0"/>
    <w:rsid w:val="00C632F2"/>
    <w:rsid w:val="00C70439"/>
    <w:rsid w:val="00C71EC1"/>
    <w:rsid w:val="00C75D4A"/>
    <w:rsid w:val="00C80F08"/>
    <w:rsid w:val="00C83286"/>
    <w:rsid w:val="00C90E92"/>
    <w:rsid w:val="00C97A94"/>
    <w:rsid w:val="00CA196E"/>
    <w:rsid w:val="00CA302B"/>
    <w:rsid w:val="00CB4920"/>
    <w:rsid w:val="00CB7900"/>
    <w:rsid w:val="00CC160D"/>
    <w:rsid w:val="00CC2395"/>
    <w:rsid w:val="00CC4BA6"/>
    <w:rsid w:val="00CC670B"/>
    <w:rsid w:val="00CD54CD"/>
    <w:rsid w:val="00CE3E39"/>
    <w:rsid w:val="00CF4CFE"/>
    <w:rsid w:val="00D17F57"/>
    <w:rsid w:val="00D22E2D"/>
    <w:rsid w:val="00D22EA3"/>
    <w:rsid w:val="00D27D5C"/>
    <w:rsid w:val="00D303D8"/>
    <w:rsid w:val="00D43D1B"/>
    <w:rsid w:val="00D55C9D"/>
    <w:rsid w:val="00D639B6"/>
    <w:rsid w:val="00D67DA8"/>
    <w:rsid w:val="00D71B7D"/>
    <w:rsid w:val="00D776A9"/>
    <w:rsid w:val="00D867DE"/>
    <w:rsid w:val="00D86F42"/>
    <w:rsid w:val="00D9095F"/>
    <w:rsid w:val="00D96CAC"/>
    <w:rsid w:val="00DA192A"/>
    <w:rsid w:val="00DA2F79"/>
    <w:rsid w:val="00DA5725"/>
    <w:rsid w:val="00DB73DD"/>
    <w:rsid w:val="00DC2416"/>
    <w:rsid w:val="00DC2C86"/>
    <w:rsid w:val="00DD5232"/>
    <w:rsid w:val="00DE3360"/>
    <w:rsid w:val="00DE5672"/>
    <w:rsid w:val="00DE6A4D"/>
    <w:rsid w:val="00DF42AD"/>
    <w:rsid w:val="00DF4779"/>
    <w:rsid w:val="00E030C8"/>
    <w:rsid w:val="00E05712"/>
    <w:rsid w:val="00E12A3B"/>
    <w:rsid w:val="00E12B8F"/>
    <w:rsid w:val="00E14D97"/>
    <w:rsid w:val="00E15543"/>
    <w:rsid w:val="00E30B2E"/>
    <w:rsid w:val="00E31A82"/>
    <w:rsid w:val="00E31F29"/>
    <w:rsid w:val="00E35BCB"/>
    <w:rsid w:val="00E5395B"/>
    <w:rsid w:val="00E572BD"/>
    <w:rsid w:val="00E66629"/>
    <w:rsid w:val="00E66A23"/>
    <w:rsid w:val="00E73E71"/>
    <w:rsid w:val="00E744EC"/>
    <w:rsid w:val="00E82282"/>
    <w:rsid w:val="00E83BC3"/>
    <w:rsid w:val="00E92FFE"/>
    <w:rsid w:val="00E938AD"/>
    <w:rsid w:val="00EA5977"/>
    <w:rsid w:val="00EB40DF"/>
    <w:rsid w:val="00EB66CA"/>
    <w:rsid w:val="00EC11A0"/>
    <w:rsid w:val="00EC33E3"/>
    <w:rsid w:val="00ED62DC"/>
    <w:rsid w:val="00EE09DD"/>
    <w:rsid w:val="00EE0B4B"/>
    <w:rsid w:val="00EE5B4A"/>
    <w:rsid w:val="00F133C1"/>
    <w:rsid w:val="00F13F9A"/>
    <w:rsid w:val="00F14BC4"/>
    <w:rsid w:val="00F15C28"/>
    <w:rsid w:val="00F20B7A"/>
    <w:rsid w:val="00F25824"/>
    <w:rsid w:val="00F26CF2"/>
    <w:rsid w:val="00F50FC1"/>
    <w:rsid w:val="00F637E9"/>
    <w:rsid w:val="00F671E3"/>
    <w:rsid w:val="00F75566"/>
    <w:rsid w:val="00F81CB1"/>
    <w:rsid w:val="00F83AAD"/>
    <w:rsid w:val="00F84387"/>
    <w:rsid w:val="00F852A2"/>
    <w:rsid w:val="00F91878"/>
    <w:rsid w:val="00FA1E8F"/>
    <w:rsid w:val="00FA493A"/>
    <w:rsid w:val="00FA5246"/>
    <w:rsid w:val="00FC33C9"/>
    <w:rsid w:val="00FC3BF2"/>
    <w:rsid w:val="00FC4564"/>
    <w:rsid w:val="00FE0A51"/>
    <w:rsid w:val="00FE7662"/>
    <w:rsid w:val="00FF167C"/>
    <w:rsid w:val="00FF39EB"/>
    <w:rsid w:val="01B8569A"/>
    <w:rsid w:val="02735BA4"/>
    <w:rsid w:val="03664C19"/>
    <w:rsid w:val="06877C9E"/>
    <w:rsid w:val="08163018"/>
    <w:rsid w:val="0C341B57"/>
    <w:rsid w:val="0D01606C"/>
    <w:rsid w:val="0DA70CC8"/>
    <w:rsid w:val="0DC7454E"/>
    <w:rsid w:val="106F797F"/>
    <w:rsid w:val="113B6235"/>
    <w:rsid w:val="13C14927"/>
    <w:rsid w:val="1488368B"/>
    <w:rsid w:val="14FE24EE"/>
    <w:rsid w:val="1508683B"/>
    <w:rsid w:val="15752B05"/>
    <w:rsid w:val="166A3794"/>
    <w:rsid w:val="170059E1"/>
    <w:rsid w:val="179915C5"/>
    <w:rsid w:val="17BE5F65"/>
    <w:rsid w:val="17C67CC8"/>
    <w:rsid w:val="18365EAB"/>
    <w:rsid w:val="185A561B"/>
    <w:rsid w:val="1956371F"/>
    <w:rsid w:val="19D66DDA"/>
    <w:rsid w:val="1A4972D0"/>
    <w:rsid w:val="1A6F528F"/>
    <w:rsid w:val="1AC947C4"/>
    <w:rsid w:val="1C074C7F"/>
    <w:rsid w:val="1C5A6E70"/>
    <w:rsid w:val="1CAE4BEB"/>
    <w:rsid w:val="1D302F2E"/>
    <w:rsid w:val="1E7F762A"/>
    <w:rsid w:val="20115229"/>
    <w:rsid w:val="20D90FC6"/>
    <w:rsid w:val="21CD0C09"/>
    <w:rsid w:val="222D3DB9"/>
    <w:rsid w:val="22B20F16"/>
    <w:rsid w:val="247B4A67"/>
    <w:rsid w:val="24A07522"/>
    <w:rsid w:val="2542284E"/>
    <w:rsid w:val="27256DCA"/>
    <w:rsid w:val="27EF7C43"/>
    <w:rsid w:val="280A3E6A"/>
    <w:rsid w:val="28415B34"/>
    <w:rsid w:val="28ED54E9"/>
    <w:rsid w:val="28F13E8E"/>
    <w:rsid w:val="29E8511D"/>
    <w:rsid w:val="2D643A5A"/>
    <w:rsid w:val="2D6C0024"/>
    <w:rsid w:val="2E800482"/>
    <w:rsid w:val="2EEA6DF4"/>
    <w:rsid w:val="32DE2766"/>
    <w:rsid w:val="335207E6"/>
    <w:rsid w:val="352B58BE"/>
    <w:rsid w:val="362C69B0"/>
    <w:rsid w:val="382E311B"/>
    <w:rsid w:val="385308FF"/>
    <w:rsid w:val="38984AEA"/>
    <w:rsid w:val="38CB0089"/>
    <w:rsid w:val="39850A8F"/>
    <w:rsid w:val="39DF7E4E"/>
    <w:rsid w:val="3A657FCF"/>
    <w:rsid w:val="3BFF7F6C"/>
    <w:rsid w:val="3EE01F1E"/>
    <w:rsid w:val="3FA878E0"/>
    <w:rsid w:val="40B835E5"/>
    <w:rsid w:val="432E2E88"/>
    <w:rsid w:val="438944C4"/>
    <w:rsid w:val="46C865ED"/>
    <w:rsid w:val="4A4F7B4B"/>
    <w:rsid w:val="4B410DD3"/>
    <w:rsid w:val="4B7C40A4"/>
    <w:rsid w:val="596E6A57"/>
    <w:rsid w:val="59F52C36"/>
    <w:rsid w:val="5AAC3CE2"/>
    <w:rsid w:val="5AD10375"/>
    <w:rsid w:val="5B236085"/>
    <w:rsid w:val="5B6E076B"/>
    <w:rsid w:val="5BA57CC5"/>
    <w:rsid w:val="5D8B3324"/>
    <w:rsid w:val="61751D6F"/>
    <w:rsid w:val="61BD249C"/>
    <w:rsid w:val="62737936"/>
    <w:rsid w:val="641E18F4"/>
    <w:rsid w:val="642D5D40"/>
    <w:rsid w:val="67E43954"/>
    <w:rsid w:val="69CA226F"/>
    <w:rsid w:val="6AAE6E4D"/>
    <w:rsid w:val="6AF006B5"/>
    <w:rsid w:val="6C76580D"/>
    <w:rsid w:val="702B091C"/>
    <w:rsid w:val="72B42786"/>
    <w:rsid w:val="734A5583"/>
    <w:rsid w:val="749F2FBB"/>
    <w:rsid w:val="770653CE"/>
    <w:rsid w:val="796932D5"/>
    <w:rsid w:val="79C42B2B"/>
    <w:rsid w:val="79E80C00"/>
    <w:rsid w:val="7B06746E"/>
    <w:rsid w:val="7DA92C7A"/>
    <w:rsid w:val="7E86313C"/>
    <w:rsid w:val="7EDC014B"/>
    <w:rsid w:val="7F3152DD"/>
    <w:rsid w:val="7FE12D63"/>
    <w:rsid w:val="7FF44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jc w:val="distribute"/>
      <w:outlineLvl w:val="0"/>
    </w:pPr>
    <w:rPr>
      <w:rFonts w:eastAsia="文鼎小标宋简"/>
      <w:b/>
      <w:color w:val="FF0000"/>
      <w:kern w:val="44"/>
      <w:sz w:val="72"/>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qFormat/>
    <w:uiPriority w:val="0"/>
    <w:pPr>
      <w:ind w:firstLine="630"/>
    </w:pPr>
    <w:rPr>
      <w:rFonts w:eastAsia="仿宋_GB2312"/>
      <w:kern w:val="0"/>
      <w:sz w:val="32"/>
      <w:szCs w:val="20"/>
    </w:rPr>
  </w:style>
  <w:style w:type="paragraph" w:styleId="5">
    <w:name w:val="Body Text"/>
    <w:basedOn w:val="1"/>
    <w:qFormat/>
    <w:uiPriority w:val="0"/>
    <w:pPr>
      <w:spacing w:after="120"/>
    </w:pPr>
    <w:rPr>
      <w:rFonts w:eastAsia="仿宋_GB2312"/>
      <w:sz w:val="32"/>
      <w:szCs w:val="20"/>
    </w:rPr>
  </w:style>
  <w:style w:type="paragraph" w:styleId="6">
    <w:name w:val="Body Text Indent"/>
    <w:basedOn w:val="1"/>
    <w:qFormat/>
    <w:uiPriority w:val="0"/>
    <w:pPr>
      <w:tabs>
        <w:tab w:val="left" w:pos="540"/>
        <w:tab w:val="left" w:pos="720"/>
      </w:tabs>
      <w:ind w:firstLine="622" w:firstLineChars="200"/>
    </w:pPr>
    <w:rPr>
      <w:rFonts w:ascii="仿宋_GB2312" w:hAnsi="宋体" w:eastAsia="仿宋_GB2312"/>
      <w:sz w:val="32"/>
      <w:szCs w:val="20"/>
    </w:rPr>
  </w:style>
  <w:style w:type="paragraph" w:styleId="7">
    <w:name w:val="Date"/>
    <w:basedOn w:val="1"/>
    <w:next w:val="1"/>
    <w:qFormat/>
    <w:uiPriority w:val="0"/>
    <w:pPr>
      <w:ind w:left="100" w:leftChars="2500"/>
    </w:pPr>
  </w:style>
  <w:style w:type="paragraph" w:styleId="8">
    <w:name w:val="Body Text Indent 2"/>
    <w:basedOn w:val="1"/>
    <w:qFormat/>
    <w:uiPriority w:val="0"/>
    <w:pPr>
      <w:ind w:firstLine="660"/>
    </w:pPr>
    <w:rPr>
      <w:rFonts w:ascii="楷体_GB2312" w:eastAsia="楷体_GB2312"/>
      <w:sz w:val="32"/>
    </w:r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before="80" w:after="180"/>
      <w:ind w:firstLine="643" w:firstLineChars="200"/>
    </w:pPr>
    <w:rPr>
      <w:rFonts w:ascii="仿宋_GB2312" w:eastAsia="仿宋_GB2312"/>
      <w:b/>
      <w:sz w:val="32"/>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22"/>
    <w:rPr>
      <w:b/>
      <w:bCs/>
    </w:rPr>
  </w:style>
  <w:style w:type="character" w:styleId="17">
    <w:name w:val="page number"/>
    <w:basedOn w:val="15"/>
    <w:qFormat/>
    <w:uiPriority w:val="0"/>
  </w:style>
  <w:style w:type="paragraph" w:customStyle="1" w:styleId="18">
    <w:name w:val="秘密紧急"/>
    <w:basedOn w:val="1"/>
    <w:qFormat/>
    <w:uiPriority w:val="0"/>
    <w:pPr>
      <w:jc w:val="right"/>
    </w:pPr>
    <w:rPr>
      <w:rFonts w:ascii="黑体" w:eastAsia="黑体"/>
      <w:sz w:val="32"/>
      <w:szCs w:val="20"/>
    </w:rPr>
  </w:style>
  <w:style w:type="paragraph" w:customStyle="1" w:styleId="19">
    <w:name w:val="默认段落字体 Para Char Char Char Char Char Char Char Char Char Char"/>
    <w:basedOn w:val="1"/>
    <w:qFormat/>
    <w:uiPriority w:val="0"/>
    <w:rPr>
      <w:szCs w:val="21"/>
    </w:rPr>
  </w:style>
  <w:style w:type="paragraph" w:customStyle="1" w:styleId="2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21">
    <w:name w:val="List Paragraph"/>
    <w:basedOn w:val="1"/>
    <w:qFormat/>
    <w:uiPriority w:val="99"/>
    <w:pPr>
      <w:ind w:firstLine="420" w:firstLineChars="200"/>
    </w:pPr>
    <w:rPr>
      <w:rFonts w:ascii="Calibri" w:hAnsi="Calibri"/>
      <w:szCs w:val="22"/>
    </w:rPr>
  </w:style>
  <w:style w:type="paragraph" w:customStyle="1" w:styleId="22">
    <w:name w:val="列出段落1"/>
    <w:basedOn w:val="1"/>
    <w:qFormat/>
    <w:uiPriority w:val="99"/>
    <w:pPr>
      <w:ind w:firstLine="420" w:firstLineChars="200"/>
    </w:pPr>
    <w:rPr>
      <w:rFonts w:ascii="Calibri" w:hAnsi="Calibri"/>
      <w:szCs w:val="22"/>
    </w:rPr>
  </w:style>
  <w:style w:type="paragraph" w:customStyle="1" w:styleId="23">
    <w:name w:val="列出段落2"/>
    <w:basedOn w:val="1"/>
    <w:qFormat/>
    <w:uiPriority w:val="99"/>
    <w:pPr>
      <w:ind w:firstLine="420" w:firstLineChars="200"/>
    </w:pPr>
    <w:rPr>
      <w:rFonts w:ascii="Calibri" w:hAnsi="Calibri"/>
      <w:szCs w:val="22"/>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5">
    <w:name w:val="zhang"/>
    <w:basedOn w:val="1"/>
    <w:qFormat/>
    <w:uiPriority w:val="0"/>
    <w:pPr>
      <w:widowControl/>
      <w:spacing w:before="100" w:beforeAutospacing="1" w:after="100" w:afterAutospacing="1"/>
      <w:jc w:val="left"/>
    </w:pPr>
    <w:rPr>
      <w:rFonts w:ascii="宋体" w:hAnsi="宋体" w:cs="宋体"/>
      <w:b/>
      <w:bCs/>
      <w:smallCaps/>
      <w:color w:val="000000"/>
      <w:kern w:val="0"/>
      <w:sz w:val="20"/>
    </w:rPr>
  </w:style>
  <w:style w:type="paragraph" w:styleId="2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Body text|1"/>
    <w:basedOn w:val="1"/>
    <w:qFormat/>
    <w:uiPriority w:val="0"/>
    <w:pPr>
      <w:spacing w:line="396" w:lineRule="auto"/>
      <w:ind w:firstLine="400"/>
      <w:jc w:val="left"/>
    </w:pPr>
    <w:rPr>
      <w:rFonts w:ascii="宋体" w:hAnsi="宋体" w:cs="宋体"/>
      <w:sz w:val="20"/>
      <w:szCs w:val="20"/>
      <w:lang w:val="zh-CN" w:bidi="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Application%20Data\Microsoft\Templates\Normal&#25919;&#242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Normal政府</Template>
  <Company>盐田区政府</Company>
  <Pages>10</Pages>
  <Words>4292</Words>
  <Characters>282</Characters>
  <Lines>2</Lines>
  <Paragraphs>9</Paragraphs>
  <TotalTime>6</TotalTime>
  <ScaleCrop>false</ScaleCrop>
  <LinksUpToDate>false</LinksUpToDate>
  <CharactersWithSpaces>4565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2020-04-23T10:44:00Z</dcterms:created>
  <dc:creator>dell</dc:creator>
  <cp:lastModifiedBy>陈喜莲</cp:lastModifiedBy>
  <cp:lastPrinted>2019-12-05T07:02:00Z</cp:lastPrinted>
  <dcterms:modified xsi:type="dcterms:W3CDTF">2020-04-28T09:19:15Z</dcterms:modified>
  <dc:title>市委文件印制格式标准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