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仿宋_GB2312" w:hAnsi="宋体" w:eastAsia="仿宋_GB2312"/>
          <w:b/>
          <w:color w:val="000000" w:themeColor="text1"/>
          <w:sz w:val="44"/>
          <w:szCs w:val="44"/>
          <w14:textFill>
            <w14:solidFill>
              <w14:schemeClr w14:val="tx1"/>
            </w14:solidFill>
          </w14:textFill>
        </w:rPr>
      </w:pPr>
    </w:p>
    <w:p>
      <w:pPr>
        <w:spacing w:line="560" w:lineRule="exact"/>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lang w:eastAsia="zh-CN"/>
          <w14:textFill>
            <w14:solidFill>
              <w14:schemeClr w14:val="tx1"/>
            </w14:solidFill>
          </w14:textFill>
        </w:rPr>
        <w:t>关于</w:t>
      </w:r>
      <w:r>
        <w:rPr>
          <w:rFonts w:hint="eastAsia" w:ascii="宋体" w:hAnsi="宋体"/>
          <w:color w:val="000000" w:themeColor="text1"/>
          <w:sz w:val="44"/>
          <w:szCs w:val="44"/>
          <w14:textFill>
            <w14:solidFill>
              <w14:schemeClr w14:val="tx1"/>
            </w14:solidFill>
          </w14:textFill>
        </w:rPr>
        <w:t>支持电竞产业发展的实施意见</w:t>
      </w:r>
    </w:p>
    <w:p>
      <w:pPr>
        <w:spacing w:line="560" w:lineRule="exact"/>
        <w:jc w:val="center"/>
        <w:rPr>
          <w:rFonts w:ascii="仿宋_GB2312" w:hAnsi="楷体" w:eastAsia="仿宋_GB2312" w:cs="楷体"/>
          <w:color w:val="000000" w:themeColor="text1"/>
          <w:sz w:val="32"/>
          <w:szCs w:val="32"/>
          <w14:textFill>
            <w14:solidFill>
              <w14:schemeClr w14:val="tx1"/>
            </w14:solidFill>
          </w14:textFill>
        </w:rPr>
      </w:pPr>
      <w:r>
        <w:rPr>
          <w:rFonts w:ascii="仿宋_GB2312" w:hAnsi="楷体" w:eastAsia="仿宋_GB2312" w:cs="楷体"/>
          <w:color w:val="000000" w:themeColor="text1"/>
          <w:sz w:val="32"/>
          <w:szCs w:val="32"/>
          <w14:textFill>
            <w14:solidFill>
              <w14:schemeClr w14:val="tx1"/>
            </w14:solidFill>
          </w14:textFill>
        </w:rPr>
        <w:t>（</w:t>
      </w:r>
      <w:r>
        <w:rPr>
          <w:rFonts w:ascii="楷体" w:hAnsi="楷体" w:eastAsia="楷体" w:cs="楷体"/>
          <w:color w:val="000000" w:themeColor="text1"/>
          <w:sz w:val="32"/>
          <w:szCs w:val="32"/>
          <w14:textFill>
            <w14:solidFill>
              <w14:schemeClr w14:val="tx1"/>
            </w14:solidFill>
          </w14:textFill>
        </w:rPr>
        <w:t>征求意见稿</w:t>
      </w:r>
      <w:r>
        <w:rPr>
          <w:rFonts w:ascii="仿宋_GB2312" w:hAnsi="楷体" w:eastAsia="仿宋_GB2312" w:cs="楷体"/>
          <w:color w:val="000000" w:themeColor="text1"/>
          <w:sz w:val="32"/>
          <w:szCs w:val="32"/>
          <w14:textFill>
            <w14:solidFill>
              <w14:schemeClr w14:val="tx1"/>
            </w14:solidFill>
          </w14:textFill>
        </w:rPr>
        <w:t>）</w:t>
      </w:r>
    </w:p>
    <w:p>
      <w:pPr>
        <w:spacing w:line="560" w:lineRule="exact"/>
        <w:rPr>
          <w:rFonts w:ascii="仿宋_GB2312" w:hAnsi="仿宋_GB2312" w:eastAsia="仿宋_GB2312"/>
          <w:color w:val="000000" w:themeColor="text1"/>
          <w:sz w:val="32"/>
          <w:szCs w:val="32"/>
          <w14:textFill>
            <w14:solidFill>
              <w14:schemeClr w14:val="tx1"/>
            </w14:solidFill>
          </w14:textFill>
        </w:rPr>
      </w:pPr>
    </w:p>
    <w:p>
      <w:pPr>
        <w:spacing w:line="560" w:lineRule="exact"/>
        <w:ind w:firstLine="64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为了贯彻粤港澳大湾区和先行示范区的战略部署，落实深圳市《加快文化产业创新发展的实施意见》，高标准建设国家文化和科技融合示范基地，发展更具竞争力的文化产业，促进南山区文化产业高质量发展，特就支持电竞产业发展制定如下实施意见。</w:t>
      </w:r>
    </w:p>
    <w:p>
      <w:pPr>
        <w:spacing w:line="560" w:lineRule="exac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一、总体要求</w:t>
      </w:r>
    </w:p>
    <w:p>
      <w:pPr>
        <w:spacing w:line="560" w:lineRule="exact"/>
        <w:ind w:firstLine="65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（一）指导思想。</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以习近平新时代中国特色社会主义思想为指导，坚持把社会效益放在首位、建立健全社会效益和经济效益相统一的文化创作生产体制机制，坚持文化和科技深度融合，加快发展数字创意产业。发挥南山区动漫游戏和文化软件等产业优势，扶持绿色健康、具有中国文化特色和南山元素的原创电竞游戏产品，支持举办高水平的电竞赛事。以南山知名电竞游戏研发企业为龙头，引入港澳资源，支持实体企业和社会资本投入电竞产业，培育具有先行示范价值的电竞产业链。</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（二）发展目标。</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——顶级电竞赛事举办地</w:t>
      </w:r>
      <w:r>
        <w:rPr>
          <w:rFonts w:hint="eastAsia" w:ascii="仿宋_GB2312" w:hAnsi="仿宋_GB2312" w:eastAsia="仿宋_GB2312"/>
          <w:color w:val="000000" w:themeColor="text1"/>
          <w:sz w:val="32"/>
          <w:szCs w:val="32"/>
          <w14:textFill>
            <w14:solidFill>
              <w14:schemeClr w14:val="tx1"/>
            </w14:solidFill>
          </w14:textFill>
        </w:rPr>
        <w:t>。依托南山区文体设施规划建设，举办各类电竞赛事，推进文体事业和电竞产业融合发展，构建具有全球知名度的电竞赛事集聚区。</w:t>
      </w:r>
    </w:p>
    <w:p>
      <w:pPr>
        <w:spacing w:line="560" w:lineRule="exact"/>
        <w:ind w:firstLine="643"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——中国电竞产业总部基地</w:t>
      </w:r>
      <w:r>
        <w:rPr>
          <w:rFonts w:hint="eastAsia" w:ascii="仿宋_GB2312" w:hAnsi="仿宋_GB2312" w:eastAsia="仿宋_GB2312"/>
          <w:color w:val="000000" w:themeColor="text1"/>
          <w:sz w:val="32"/>
          <w:szCs w:val="32"/>
          <w14:textFill>
            <w14:solidFill>
              <w14:schemeClr w14:val="tx1"/>
            </w14:solidFill>
          </w14:textFill>
        </w:rPr>
        <w:t>。发挥南山区电竞游戏研发优势，发挥头部企业核心优势，吸引更多电竞企业总部入驻，打造具有国际影响力的电竞总部经济区。</w:t>
      </w:r>
    </w:p>
    <w:p>
      <w:pPr>
        <w:spacing w:line="560" w:lineRule="exact"/>
        <w:ind w:firstLine="643"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——粤港澳电竞产业中心</w:t>
      </w:r>
      <w:r>
        <w:rPr>
          <w:rFonts w:hint="eastAsia" w:ascii="仿宋_GB2312" w:hAnsi="仿宋_GB2312" w:eastAsia="仿宋_GB2312"/>
          <w:color w:val="000000" w:themeColor="text1"/>
          <w:sz w:val="32"/>
          <w:szCs w:val="32"/>
          <w14:textFill>
            <w14:solidFill>
              <w14:schemeClr w14:val="tx1"/>
            </w14:solidFill>
          </w14:textFill>
        </w:rPr>
        <w:t>。聚集粤港澳顶级电竞企业、俱乐部，建设电竞场馆和产业园，加强电竞产业投融资，带动上下游产业链，打造具有文化科技融合特色的电竞产业中心。</w:t>
      </w:r>
    </w:p>
    <w:p>
      <w:pPr>
        <w:spacing w:line="560" w:lineRule="exact"/>
        <w:ind w:firstLine="640" w:firstLineChars="200"/>
        <w:jc w:val="left"/>
        <w:rPr>
          <w:rFonts w:ascii="黑体" w:hAnsi="黑体" w:eastAsia="黑体" w:cs="楷体"/>
          <w:color w:val="000000" w:themeColor="text1"/>
          <w:sz w:val="32"/>
          <w:szCs w:val="32"/>
          <w14:textFill>
            <w14:solidFill>
              <w14:schemeClr w14:val="tx1"/>
            </w14:solidFill>
          </w14:textFill>
        </w:rPr>
      </w:pPr>
      <w:r>
        <w:rPr>
          <w:rFonts w:hint="eastAsia" w:ascii="黑体" w:hAnsi="黑体" w:eastAsia="黑体" w:cs="楷体"/>
          <w:color w:val="000000" w:themeColor="text1"/>
          <w:sz w:val="32"/>
          <w:szCs w:val="32"/>
          <w14:textFill>
            <w14:solidFill>
              <w14:schemeClr w14:val="tx1"/>
            </w14:solidFill>
          </w14:textFill>
        </w:rPr>
        <w:t>二、主要任务</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（一）打造产业品牌，支持举办国际顶级电竞赛事并创立区域电竞赛事品牌。</w:t>
      </w:r>
    </w:p>
    <w:p>
      <w:pPr>
        <w:spacing w:line="560" w:lineRule="exact"/>
        <w:ind w:firstLine="640" w:firstLineChars="200"/>
        <w:jc w:val="left"/>
        <w:rPr>
          <w:rFonts w:ascii="仿宋_GB2312" w:hAnsi="楷体"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电竞游戏研发和衍生品开发，打造具有南山特色的健康游戏品牌。创新电竞赛事体制机制，大力引进和培育粤港澳及国内外顶级电竞俱乐部，支持参加国家级和单项国际性级别以上的电竞赛事。充分利用政府文体设施，鼓励开展具有全国影响力的电竞产业专业展会、论坛及其他专业交流活动，举办和创立具有国际影响力电竞赛事，营造健康良好的电竞赛事氛围。</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（二）培育产业主体，支持电竞企业、俱乐部等落户。</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南山重点电竞游戏研发企业，引入国内外行业领军的电竞企业，导入港澳电竞及文化娱乐资源，建设电竞企业总部，提升电竞产业集聚效应。引入国内外尤其是粤港澳地区具有国际知名度的电竞俱乐部，鼓励在南山设立联盟俱乐部主场。</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（三）拓展产业空间，支持改造或新建专业电竞场馆和电竞产业园。</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鼓励社会机构建设或改建专业电竞场馆，开展和举办电竞训练与比赛，推进文旅融合发展，将电竞场馆打造成为电竞地标和网红打卡地。支持电竞场馆运营机构开展对外宣传推广，培育和引进电竞相关企业，创建和举办品牌文化活动。支持电竞产业园建设和改造，打造</w:t>
      </w:r>
      <w:r>
        <w:rPr>
          <w:rFonts w:ascii="仿宋_GB2312" w:hAnsi="仿宋_GB2312" w:eastAsia="仿宋_GB2312"/>
          <w:color w:val="000000" w:themeColor="text1"/>
          <w:sz w:val="32"/>
          <w:szCs w:val="32"/>
          <w14:textFill>
            <w14:solidFill>
              <w14:schemeClr w14:val="tx1"/>
            </w14:solidFill>
          </w14:textFill>
        </w:rPr>
        <w:t>电竞</w:t>
      </w:r>
      <w:r>
        <w:rPr>
          <w:rFonts w:hint="eastAsia" w:ascii="仿宋_GB2312" w:hAnsi="仿宋_GB2312" w:eastAsia="仿宋_GB2312"/>
          <w:color w:val="000000" w:themeColor="text1"/>
          <w:sz w:val="32"/>
          <w:szCs w:val="32"/>
          <w14:textFill>
            <w14:solidFill>
              <w14:schemeClr w14:val="tx1"/>
            </w14:solidFill>
          </w14:textFill>
        </w:rPr>
        <w:t>全产业链</w:t>
      </w:r>
      <w:r>
        <w:rPr>
          <w:rFonts w:ascii="仿宋_GB2312" w:hAnsi="仿宋_GB2312" w:eastAsia="仿宋_GB2312"/>
          <w:color w:val="000000" w:themeColor="text1"/>
          <w:sz w:val="32"/>
          <w:szCs w:val="32"/>
          <w14:textFill>
            <w14:solidFill>
              <w14:schemeClr w14:val="tx1"/>
            </w14:solidFill>
          </w14:textFill>
        </w:rPr>
        <w:t>的园区</w:t>
      </w:r>
      <w:r>
        <w:rPr>
          <w:rFonts w:hint="eastAsia" w:ascii="仿宋_GB2312" w:hAnsi="仿宋_GB2312" w:eastAsia="仿宋_GB2312"/>
          <w:color w:val="000000" w:themeColor="text1"/>
          <w:sz w:val="32"/>
          <w:szCs w:val="32"/>
          <w14:textFill>
            <w14:solidFill>
              <w14:schemeClr w14:val="tx1"/>
            </w14:solidFill>
          </w14:textFill>
        </w:rPr>
        <w:t>，优化电竞产业生态。</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（四）培养产业人才，支持电竞人才和电竞教育发展。</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鼓励开展电竞教育培训，支持校企共建电竞人才实训基地，重点引进粤港澳地区电竞人才，推进专业电竞、高校电竞等多元化发展。支持国内外电竞运动员、电竞教练等专业人才落户南山，在人才房、子女入学入托等方面提供支持保障，享受市、区政府出台的有关人才引进的优惠政策。</w:t>
      </w:r>
    </w:p>
    <w:p>
      <w:pPr>
        <w:spacing w:line="56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（五）提升产业服务，支持电竞基金、知识产权及版权交易等服务平台建设。</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南山产业基金和重点企业投资电竞产业，引入港澳产业基金和社会资本，推动电竞产业投融资体系建设。依托电竞企业总部、电竞产业园、电竞场馆，重点推进电竞媒体、知识产权、版权交易等产业服务平台建设，增强电竞产业服务保障，加快完善南山电竞产业生态体系。</w:t>
      </w:r>
    </w:p>
    <w:p>
      <w:pPr>
        <w:spacing w:line="56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三、保障措施</w:t>
      </w:r>
    </w:p>
    <w:p>
      <w:pPr>
        <w:spacing w:line="560" w:lineRule="exact"/>
        <w:ind w:firstLine="640" w:firstLineChars="20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（一）加强组织领导。</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建立南山区促进电竞产业发展联动工作机制，研究部署工作实施中的重大问题、重要政策、重点任务，统筹协调和督促落实，适时调整电竞产业专项政策。加强重大赛事的组织工作，确保消防、交通、电力等安全运行。</w:t>
      </w:r>
    </w:p>
    <w:p>
      <w:pPr>
        <w:spacing w:line="560" w:lineRule="exact"/>
        <w:ind w:firstLine="640" w:firstLineChars="20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（二）加大资金支持。</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完善南山区自主创新产业发展专项资金政策，增加电竞产业专项政策，充分发挥财政资金引导和扶持作用，加大对电子竞技重要产业载体、产业服务平台的支持。鼓励设立南山电竞产业发展专项基金，引导社会资金加大对电竞产业新业态、新模式创新发展的支持。</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（三）建立协同机制</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广泛调动电竞相关市场主体、社会组织，发挥行业协会的纽带作用，通过产业论坛、宣传推广链接社会组织，利用政产学研用一体化模式推动建立协同创新机制。探索建立粤港澳电竞产业联动发展机制，共同提升粤港澳地区的电竞产业竞争力和品牌影响力。</w:t>
      </w:r>
    </w:p>
    <w:p>
      <w:pPr>
        <w:widowControl/>
        <w:jc w:val="left"/>
        <w:rPr>
          <w:rFonts w:ascii="宋体" w:hAnsi="宋体"/>
          <w:color w:val="000000" w:themeColor="text1"/>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spacing w:line="560" w:lineRule="exact"/>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lang w:eastAsia="zh-CN"/>
          <w14:textFill>
            <w14:solidFill>
              <w14:schemeClr w14:val="tx1"/>
            </w14:solidFill>
          </w14:textFill>
        </w:rPr>
        <w:t>关于</w:t>
      </w:r>
      <w:bookmarkStart w:id="9" w:name="_GoBack"/>
      <w:bookmarkEnd w:id="9"/>
      <w:r>
        <w:rPr>
          <w:rFonts w:hint="eastAsia" w:ascii="宋体" w:hAnsi="宋体"/>
          <w:color w:val="000000" w:themeColor="text1"/>
          <w:sz w:val="44"/>
          <w:szCs w:val="44"/>
          <w14:textFill>
            <w14:solidFill>
              <w14:schemeClr w14:val="tx1"/>
            </w14:solidFill>
          </w14:textFill>
        </w:rPr>
        <w:t>支持电竞产业发展的配套政策</w:t>
      </w:r>
    </w:p>
    <w:p>
      <w:pPr>
        <w:spacing w:line="560" w:lineRule="exact"/>
        <w:jc w:val="center"/>
        <w:rPr>
          <w:rFonts w:ascii="宋体" w:hAnsi="宋体" w:cs="楷体"/>
          <w:color w:val="000000" w:themeColor="text1"/>
          <w:sz w:val="32"/>
          <w:szCs w:val="32"/>
          <w14:textFill>
            <w14:solidFill>
              <w14:schemeClr w14:val="tx1"/>
            </w14:solidFill>
          </w14:textFill>
        </w:rPr>
      </w:pPr>
      <w:r>
        <w:rPr>
          <w:rFonts w:hint="eastAsia" w:ascii="宋体" w:hAnsi="宋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征求意见稿</w:t>
      </w:r>
      <w:r>
        <w:rPr>
          <w:rFonts w:hint="eastAsia" w:ascii="宋体" w:hAnsi="宋体" w:cs="楷体"/>
          <w:color w:val="000000" w:themeColor="text1"/>
          <w:sz w:val="32"/>
          <w:szCs w:val="32"/>
          <w14:textFill>
            <w14:solidFill>
              <w14:schemeClr w14:val="tx1"/>
            </w14:solidFill>
          </w14:textFill>
        </w:rPr>
        <w:t>）</w:t>
      </w:r>
    </w:p>
    <w:p>
      <w:pPr>
        <w:numPr>
          <w:ilvl w:val="255"/>
          <w:numId w:val="0"/>
        </w:numPr>
        <w:spacing w:line="560" w:lineRule="exact"/>
        <w:rPr>
          <w:rFonts w:ascii="仿宋_GB2312" w:hAnsi="黑体" w:eastAsia="仿宋_GB2312"/>
          <w:b/>
          <w:bCs/>
          <w:color w:val="000000" w:themeColor="text1"/>
          <w14:textFill>
            <w14:solidFill>
              <w14:schemeClr w14:val="tx1"/>
            </w14:solidFill>
          </w14:textFill>
        </w:rPr>
      </w:pPr>
      <w:bookmarkStart w:id="0" w:name="_Toc526894808"/>
    </w:p>
    <w:p>
      <w:pPr>
        <w:numPr>
          <w:ilvl w:val="255"/>
          <w:numId w:val="0"/>
        </w:num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总</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则</w:t>
      </w:r>
      <w:bookmarkEnd w:id="0"/>
    </w:p>
    <w:p>
      <w:pPr>
        <w:pStyle w:val="18"/>
        <w:numPr>
          <w:ilvl w:val="255"/>
          <w:numId w:val="0"/>
        </w:numPr>
        <w:tabs>
          <w:tab w:val="left" w:pos="0"/>
        </w:tabs>
        <w:spacing w:line="560" w:lineRule="exact"/>
        <w:ind w:firstLine="643" w:firstLineChars="200"/>
        <w:jc w:val="left"/>
        <w:rPr>
          <w:rFonts w:ascii="仿宋_GB2312" w:hAnsi="华文仿宋" w:eastAsia="仿宋_GB2312"/>
          <w:b/>
          <w:bCs/>
          <w:color w:val="000000" w:themeColor="text1"/>
          <w:sz w:val="32"/>
          <w14:textFill>
            <w14:solidFill>
              <w14:schemeClr w14:val="tx1"/>
            </w14:solidFill>
          </w14:textFill>
        </w:rPr>
      </w:pPr>
    </w:p>
    <w:p>
      <w:pPr>
        <w:pStyle w:val="18"/>
        <w:numPr>
          <w:ilvl w:val="255"/>
          <w:numId w:val="0"/>
        </w:numPr>
        <w:tabs>
          <w:tab w:val="left" w:pos="0"/>
        </w:tabs>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 w:hAnsi="楷体" w:eastAsia="楷体" w:cs="仿宋"/>
          <w:color w:val="000000" w:themeColor="text1"/>
          <w:sz w:val="32"/>
          <w14:textFill>
            <w14:solidFill>
              <w14:schemeClr w14:val="tx1"/>
            </w14:solidFill>
          </w14:textFill>
        </w:rPr>
        <w:t>第一条</w:t>
      </w:r>
      <w:r>
        <w:rPr>
          <w:rFonts w:ascii="仿宋_GB2312" w:hAnsi="仿宋" w:eastAsia="仿宋_GB2312" w:cs="仿宋"/>
          <w:color w:val="000000" w:themeColor="text1"/>
          <w:sz w:val="32"/>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为了支持深圳市南山区电竞产业创新发展，进一步提升南山区电竞产业竞争力，根据《南山区自主创新产业发展专项资金管理办法》，制定本细则。</w:t>
      </w:r>
    </w:p>
    <w:p>
      <w:pPr>
        <w:pStyle w:val="18"/>
        <w:tabs>
          <w:tab w:val="left" w:pos="0"/>
        </w:tabs>
        <w:spacing w:line="560" w:lineRule="exact"/>
        <w:ind w:firstLine="640"/>
        <w:rPr>
          <w:rFonts w:ascii="仿宋_GB2312" w:hAnsi="仿宋" w:eastAsia="仿宋_GB2312" w:cs="仿宋"/>
          <w:b/>
          <w:color w:val="000000" w:themeColor="text1"/>
          <w:sz w:val="32"/>
          <w14:textFill>
            <w14:solidFill>
              <w14:schemeClr w14:val="tx1"/>
            </w14:solidFill>
          </w14:textFill>
        </w:rPr>
      </w:pPr>
      <w:r>
        <w:rPr>
          <w:rFonts w:hint="eastAsia" w:ascii="楷体" w:hAnsi="楷体" w:eastAsia="楷体" w:cs="仿宋"/>
          <w:color w:val="000000" w:themeColor="text1"/>
          <w:sz w:val="32"/>
          <w14:textFill>
            <w14:solidFill>
              <w14:schemeClr w14:val="tx1"/>
            </w14:solidFill>
          </w14:textFill>
        </w:rPr>
        <w:t>第二条</w:t>
      </w:r>
      <w:r>
        <w:rPr>
          <w:rFonts w:ascii="楷体" w:hAnsi="楷体" w:eastAsia="楷体" w:cs="仿宋"/>
          <w:color w:val="000000" w:themeColor="text1"/>
          <w:sz w:val="32"/>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本细则适用于南山区电竞产业发展资金的申报、审核及相关管理活动。本细则由南山区文化广电旅游体育局制定和主管，资金使用由南山区自主创新产业发展专项资金领导小组决策和审批。</w:t>
      </w:r>
    </w:p>
    <w:p>
      <w:pPr>
        <w:pStyle w:val="18"/>
        <w:tabs>
          <w:tab w:val="left" w:pos="0"/>
        </w:tabs>
        <w:spacing w:line="560" w:lineRule="exact"/>
        <w:ind w:firstLine="0" w:firstLineChars="0"/>
        <w:jc w:val="left"/>
        <w:rPr>
          <w:rFonts w:ascii="仿宋_GB2312" w:hAnsi="黑体" w:eastAsia="仿宋_GB2312"/>
          <w:b/>
          <w:bCs/>
          <w:color w:val="000000" w:themeColor="text1"/>
          <w14:textFill>
            <w14:solidFill>
              <w14:schemeClr w14:val="tx1"/>
            </w14:solidFill>
          </w14:textFill>
        </w:rPr>
      </w:pPr>
      <w:bookmarkStart w:id="1" w:name="_Toc526894809"/>
    </w:p>
    <w:p>
      <w:pPr>
        <w:numPr>
          <w:ilvl w:val="255"/>
          <w:numId w:val="0"/>
        </w:num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支持对象</w:t>
      </w:r>
      <w:bookmarkEnd w:id="1"/>
    </w:p>
    <w:p>
      <w:pPr>
        <w:spacing w:line="560" w:lineRule="exact"/>
        <w:ind w:firstLine="640" w:firstLineChars="200"/>
        <w:jc w:val="left"/>
        <w:rPr>
          <w:rFonts w:ascii="仿宋_GB2312" w:hAnsi="华文仿宋" w:eastAsia="仿宋_GB2312"/>
          <w:color w:val="000000" w:themeColor="text1"/>
          <w:sz w:val="32"/>
          <w14:textFill>
            <w14:solidFill>
              <w14:schemeClr w14:val="tx1"/>
            </w14:solidFill>
          </w14:textFill>
        </w:rPr>
      </w:pPr>
    </w:p>
    <w:p>
      <w:pPr>
        <w:pStyle w:val="18"/>
        <w:numPr>
          <w:ilvl w:val="255"/>
          <w:numId w:val="0"/>
        </w:numPr>
        <w:tabs>
          <w:tab w:val="left" w:pos="0"/>
        </w:tabs>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bookmarkStart w:id="2" w:name="_Hlk16154684"/>
      <w:r>
        <w:rPr>
          <w:rFonts w:hint="eastAsia" w:ascii="楷体" w:hAnsi="楷体" w:eastAsia="楷体" w:cs="仿宋"/>
          <w:color w:val="000000" w:themeColor="text1"/>
          <w:sz w:val="32"/>
          <w14:textFill>
            <w14:solidFill>
              <w14:schemeClr w14:val="tx1"/>
            </w14:solidFill>
          </w14:textFill>
        </w:rPr>
        <w:t>第三条</w:t>
      </w:r>
      <w:r>
        <w:rPr>
          <w:rFonts w:ascii="仿宋_GB2312" w:hAnsi="仿宋" w:eastAsia="仿宋_GB2312" w:cs="仿宋"/>
          <w:color w:val="000000" w:themeColor="text1"/>
          <w:sz w:val="32"/>
          <w14:textFill>
            <w14:solidFill>
              <w14:schemeClr w14:val="tx1"/>
            </w14:solidFill>
          </w14:textFill>
        </w:rPr>
        <w:t xml:space="preserve"> </w:t>
      </w:r>
      <w:bookmarkStart w:id="3" w:name="_Hlk16154809"/>
      <w:r>
        <w:rPr>
          <w:rFonts w:hint="eastAsia" w:ascii="仿宋_GB2312" w:hAnsi="仿宋" w:eastAsia="仿宋_GB2312" w:cs="仿宋"/>
          <w:color w:val="000000" w:themeColor="text1"/>
          <w:sz w:val="32"/>
          <w:szCs w:val="32"/>
          <w14:textFill>
            <w14:solidFill>
              <w14:schemeClr w14:val="tx1"/>
            </w14:solidFill>
          </w14:textFill>
        </w:rPr>
        <w:t>申请资金支持的企业、社会组织须符合下列条件：</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从事电竞及相关产业，主要包括电竞赛事、电竞俱乐部、电竞运动员、电竞主播及经纪公司；电竞场馆、电竞产业园；电竞内容研发、电竞软件服务和硬件生产；电竞运营、电竞直播、电竞媒体、电竞教育和培训等。</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（二）在南山区依法注册或登记成立，并在南山区实际运营电竞产业；</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（三）运营规范，管理制度健全，依法缴纳社保，守法诚信经营，无违法违规经营记录。</w:t>
      </w:r>
    </w:p>
    <w:p>
      <w:pPr>
        <w:spacing w:line="560" w:lineRule="exact"/>
        <w:ind w:firstLine="640" w:firstLineChars="200"/>
        <w:rPr>
          <w:rFonts w:ascii="宋体" w:hAnsi="宋体" w:cs="仿宋"/>
          <w:color w:val="000000" w:themeColor="text1"/>
          <w:sz w:val="32"/>
          <w:szCs w:val="32"/>
          <w14:textFill>
            <w14:solidFill>
              <w14:schemeClr w14:val="tx1"/>
            </w14:solidFill>
          </w14:textFill>
        </w:rPr>
      </w:pPr>
    </w:p>
    <w:bookmarkEnd w:id="2"/>
    <w:bookmarkEnd w:id="3"/>
    <w:p>
      <w:pPr>
        <w:numPr>
          <w:ilvl w:val="255"/>
          <w:numId w:val="0"/>
        </w:numPr>
        <w:spacing w:line="560" w:lineRule="exact"/>
        <w:jc w:val="center"/>
        <w:rPr>
          <w:rFonts w:ascii="黑体" w:hAnsi="黑体" w:eastAsia="黑体"/>
          <w:color w:val="000000" w:themeColor="text1"/>
          <w14:textFill>
            <w14:solidFill>
              <w14:schemeClr w14:val="tx1"/>
            </w14:solidFill>
          </w14:textFill>
        </w:rPr>
      </w:pPr>
      <w:bookmarkStart w:id="4" w:name="_Toc526894810"/>
      <w:r>
        <w:rPr>
          <w:rFonts w:hint="eastAsia" w:ascii="黑体" w:hAnsi="黑体" w:eastAsia="黑体"/>
          <w:color w:val="000000" w:themeColor="text1"/>
          <w:sz w:val="32"/>
          <w:szCs w:val="32"/>
          <w14:textFill>
            <w14:solidFill>
              <w14:schemeClr w14:val="tx1"/>
            </w14:solidFill>
          </w14:textFill>
        </w:rPr>
        <w:t>第三章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支持内容和标准</w:t>
      </w:r>
      <w:bookmarkEnd w:id="4"/>
    </w:p>
    <w:p>
      <w:pPr>
        <w:spacing w:line="560" w:lineRule="exact"/>
        <w:ind w:firstLine="643" w:firstLineChars="200"/>
        <w:jc w:val="left"/>
        <w:rPr>
          <w:rFonts w:ascii="仿宋_GB2312" w:hAnsi="仿宋" w:eastAsia="仿宋_GB2312" w:cs="仿宋"/>
          <w:b/>
          <w:bCs/>
          <w:color w:val="000000" w:themeColor="text1"/>
          <w:sz w:val="32"/>
          <w14:textFill>
            <w14:solidFill>
              <w14:schemeClr w14:val="tx1"/>
            </w14:solidFill>
          </w14:textFill>
        </w:rPr>
      </w:pPr>
    </w:p>
    <w:p>
      <w:pPr>
        <w:pStyle w:val="18"/>
        <w:tabs>
          <w:tab w:val="left" w:pos="0"/>
        </w:tabs>
        <w:spacing w:line="560" w:lineRule="exact"/>
        <w:ind w:firstLine="640"/>
        <w:rPr>
          <w:rFonts w:ascii="楷体" w:hAnsi="楷体" w:eastAsia="楷体" w:cs="仿宋"/>
          <w:bCs/>
          <w:color w:val="000000" w:themeColor="text1"/>
          <w:sz w:val="32"/>
          <w14:textFill>
            <w14:solidFill>
              <w14:schemeClr w14:val="tx1"/>
            </w14:solidFill>
          </w14:textFill>
        </w:rPr>
      </w:pPr>
      <w:r>
        <w:rPr>
          <w:rFonts w:hint="eastAsia" w:ascii="楷体" w:hAnsi="楷体" w:eastAsia="楷体" w:cs="仿宋"/>
          <w:bCs/>
          <w:color w:val="000000" w:themeColor="text1"/>
          <w:sz w:val="32"/>
          <w14:textFill>
            <w14:solidFill>
              <w14:schemeClr w14:val="tx1"/>
            </w14:solidFill>
          </w14:textFill>
        </w:rPr>
        <w:t>第四条</w:t>
      </w:r>
      <w:r>
        <w:rPr>
          <w:rFonts w:ascii="楷体" w:hAnsi="楷体" w:eastAsia="楷体" w:cs="仿宋"/>
          <w:bCs/>
          <w:color w:val="000000" w:themeColor="text1"/>
          <w:sz w:val="32"/>
          <w14:textFill>
            <w14:solidFill>
              <w14:schemeClr w14:val="tx1"/>
            </w14:solidFill>
          </w14:textFill>
        </w:rPr>
        <w:t xml:space="preserve"> </w:t>
      </w:r>
      <w:r>
        <w:rPr>
          <w:rFonts w:hint="eastAsia" w:ascii="楷体" w:hAnsi="楷体" w:eastAsia="楷体" w:cs="仿宋"/>
          <w:bCs/>
          <w:color w:val="000000" w:themeColor="text1"/>
          <w:sz w:val="32"/>
          <w14:textFill>
            <w14:solidFill>
              <w14:schemeClr w14:val="tx1"/>
            </w14:solidFill>
          </w14:textFill>
        </w:rPr>
        <w:t>支持电竞原创内容研发</w:t>
      </w:r>
    </w:p>
    <w:p>
      <w:pPr>
        <w:pStyle w:val="18"/>
        <w:tabs>
          <w:tab w:val="left" w:pos="0"/>
        </w:tabs>
        <w:spacing w:line="560" w:lineRule="exact"/>
        <w:ind w:firstLine="643"/>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14:textFill>
            <w14:solidFill>
              <w14:schemeClr w14:val="tx1"/>
            </w14:solidFill>
          </w14:textFill>
        </w:rPr>
        <w:t>（一）电竞游戏产品开发奖励</w:t>
      </w:r>
      <w:r>
        <w:rPr>
          <w:rFonts w:hint="eastAsia" w:ascii="仿宋_GB2312" w:hAnsi="仿宋" w:eastAsia="仿宋_GB2312" w:cs="仿宋"/>
          <w:bCs/>
          <w:color w:val="000000" w:themeColor="text1"/>
          <w:sz w:val="32"/>
          <w14:textFill>
            <w14:solidFill>
              <w14:schemeClr w14:val="tx1"/>
            </w14:solidFill>
          </w14:textFill>
        </w:rPr>
        <w:t>。支持游戏企业开发</w:t>
      </w:r>
      <w:r>
        <w:rPr>
          <w:rFonts w:hint="eastAsia" w:ascii="仿宋_GB2312" w:hAnsi="仿宋_GB2312" w:eastAsia="仿宋_GB2312"/>
          <w:color w:val="000000" w:themeColor="text1"/>
          <w:sz w:val="32"/>
          <w:szCs w:val="32"/>
          <w14:textFill>
            <w14:solidFill>
              <w14:schemeClr w14:val="tx1"/>
            </w14:solidFill>
          </w14:textFill>
        </w:rPr>
        <w:t>绿色健康、具有中国文化特色和南山元素的原创电竞游戏产品，按照运营首年度营收的</w:t>
      </w:r>
      <w:r>
        <w:rPr>
          <w:rFonts w:ascii="仿宋_GB2312" w:hAnsi="仿宋_GB2312" w:eastAsia="仿宋_GB2312"/>
          <w:color w:val="000000" w:themeColor="text1"/>
          <w:sz w:val="32"/>
          <w:szCs w:val="32"/>
          <w14:textFill>
            <w14:solidFill>
              <w14:schemeClr w14:val="tx1"/>
            </w14:solidFill>
          </w14:textFill>
        </w:rPr>
        <w:t>10%给予奖励，</w:t>
      </w:r>
      <w:r>
        <w:rPr>
          <w:rFonts w:ascii="仿宋_GB2312" w:hAnsi="仿宋" w:eastAsia="仿宋_GB2312" w:cs="仿宋"/>
          <w:color w:val="000000" w:themeColor="text1"/>
          <w:sz w:val="32"/>
          <w:szCs w:val="32"/>
          <w14:textFill>
            <w14:solidFill>
              <w14:schemeClr w14:val="tx1"/>
            </w14:solidFill>
          </w14:textFill>
        </w:rPr>
        <w:t>每家单位每年</w:t>
      </w:r>
      <w:r>
        <w:rPr>
          <w:rFonts w:hint="eastAsia" w:ascii="仿宋_GB2312" w:hAnsi="仿宋" w:eastAsia="仿宋_GB2312" w:cs="仿宋"/>
          <w:color w:val="000000" w:themeColor="text1"/>
          <w:sz w:val="32"/>
          <w:szCs w:val="32"/>
          <w14:textFill>
            <w14:solidFill>
              <w14:schemeClr w14:val="tx1"/>
            </w14:solidFill>
          </w14:textFill>
        </w:rPr>
        <w:t>奖励</w:t>
      </w:r>
      <w:r>
        <w:rPr>
          <w:rFonts w:ascii="仿宋_GB2312" w:hAnsi="仿宋" w:eastAsia="仿宋_GB2312" w:cs="仿宋"/>
          <w:color w:val="000000" w:themeColor="text1"/>
          <w:sz w:val="32"/>
          <w:szCs w:val="32"/>
          <w14:textFill>
            <w14:solidFill>
              <w14:schemeClr w14:val="tx1"/>
            </w14:solidFill>
          </w14:textFill>
        </w:rPr>
        <w:t>金额最高不超过100万元</w:t>
      </w:r>
      <w:r>
        <w:rPr>
          <w:rFonts w:hint="eastAsia" w:ascii="仿宋_GB2312" w:hAnsi="仿宋_GB2312" w:eastAsia="仿宋_GB2312"/>
          <w:color w:val="000000" w:themeColor="text1"/>
          <w:sz w:val="32"/>
          <w:szCs w:val="32"/>
          <w14:textFill>
            <w14:solidFill>
              <w14:schemeClr w14:val="tx1"/>
            </w14:solidFill>
          </w14:textFill>
        </w:rPr>
        <w:t>。首次被选为影响力大、产业带动强的重大电竞赛事</w:t>
      </w:r>
      <w:r>
        <w:rPr>
          <w:rFonts w:ascii="仿宋_GB2312" w:hAnsi="仿宋_GB2312" w:eastAsia="仿宋_GB2312"/>
          <w:color w:val="000000" w:themeColor="text1"/>
          <w:sz w:val="32"/>
          <w:szCs w:val="32"/>
          <w14:textFill>
            <w14:solidFill>
              <w14:schemeClr w14:val="tx1"/>
            </w14:solidFill>
          </w14:textFill>
        </w:rPr>
        <w:t>的游戏</w:t>
      </w:r>
      <w:r>
        <w:rPr>
          <w:rFonts w:hint="eastAsia" w:ascii="仿宋_GB2312" w:hAnsi="仿宋_GB2312" w:eastAsia="仿宋_GB2312"/>
          <w:color w:val="000000" w:themeColor="text1"/>
          <w:sz w:val="32"/>
          <w:szCs w:val="32"/>
          <w14:textFill>
            <w14:solidFill>
              <w14:schemeClr w14:val="tx1"/>
            </w14:solidFill>
          </w14:textFill>
        </w:rPr>
        <w:t>产品，给予100万元的</w:t>
      </w:r>
      <w:r>
        <w:rPr>
          <w:rFonts w:ascii="仿宋_GB2312" w:hAnsi="仿宋_GB2312" w:eastAsia="仿宋_GB2312"/>
          <w:color w:val="000000" w:themeColor="text1"/>
          <w:sz w:val="32"/>
          <w:szCs w:val="32"/>
          <w14:textFill>
            <w14:solidFill>
              <w14:schemeClr w14:val="tx1"/>
            </w14:solidFill>
          </w14:textFill>
        </w:rPr>
        <w:t>一次性奖励。</w:t>
      </w:r>
    </w:p>
    <w:p>
      <w:pPr>
        <w:pStyle w:val="18"/>
        <w:tabs>
          <w:tab w:val="left" w:pos="0"/>
        </w:tabs>
        <w:spacing w:line="560" w:lineRule="exact"/>
        <w:ind w:firstLine="64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14:textFill>
            <w14:solidFill>
              <w14:schemeClr w14:val="tx1"/>
            </w14:solidFill>
          </w14:textFill>
        </w:rPr>
        <w:t>（二）电竞衍生内容开发奖励</w:t>
      </w:r>
      <w:r>
        <w:rPr>
          <w:rFonts w:hint="eastAsia" w:ascii="仿宋_GB2312" w:hAnsi="仿宋" w:eastAsia="仿宋_GB2312" w:cs="仿宋"/>
          <w:bCs/>
          <w:color w:val="000000" w:themeColor="text1"/>
          <w:sz w:val="32"/>
          <w14:textFill>
            <w14:solidFill>
              <w14:schemeClr w14:val="tx1"/>
            </w14:solidFill>
          </w14:textFill>
        </w:rPr>
        <w:t>。支持动漫和影视企业创作以电竞为主题的动漫、电影、电视剧、网络剧等，在院线、省级以上电视台或重点网络视频平台播出的，</w:t>
      </w:r>
      <w:r>
        <w:rPr>
          <w:rFonts w:hint="eastAsia" w:ascii="仿宋_GB2312" w:hAnsi="仿宋_GB2312" w:eastAsia="仿宋_GB2312"/>
          <w:color w:val="000000" w:themeColor="text1"/>
          <w:sz w:val="32"/>
          <w:szCs w:val="32"/>
          <w14:textFill>
            <w14:solidFill>
              <w14:schemeClr w14:val="tx1"/>
            </w14:solidFill>
          </w14:textFill>
        </w:rPr>
        <w:t>按照播出首年度营收的</w:t>
      </w:r>
      <w:r>
        <w:rPr>
          <w:rFonts w:ascii="仿宋_GB2312" w:hAnsi="仿宋_GB2312" w:eastAsia="仿宋_GB2312"/>
          <w:color w:val="000000" w:themeColor="text1"/>
          <w:sz w:val="32"/>
          <w:szCs w:val="32"/>
          <w14:textFill>
            <w14:solidFill>
              <w14:schemeClr w14:val="tx1"/>
            </w14:solidFill>
          </w14:textFill>
        </w:rPr>
        <w:t>15%给予奖励，</w:t>
      </w:r>
      <w:r>
        <w:rPr>
          <w:rFonts w:ascii="仿宋_GB2312" w:hAnsi="仿宋" w:eastAsia="仿宋_GB2312" w:cs="仿宋"/>
          <w:color w:val="000000" w:themeColor="text1"/>
          <w:sz w:val="32"/>
          <w:szCs w:val="32"/>
          <w14:textFill>
            <w14:solidFill>
              <w14:schemeClr w14:val="tx1"/>
            </w14:solidFill>
          </w14:textFill>
        </w:rPr>
        <w:t>每家单位每年</w:t>
      </w:r>
      <w:r>
        <w:rPr>
          <w:rFonts w:hint="eastAsia" w:ascii="仿宋_GB2312" w:hAnsi="仿宋" w:eastAsia="仿宋_GB2312" w:cs="仿宋"/>
          <w:color w:val="000000" w:themeColor="text1"/>
          <w:sz w:val="32"/>
          <w:szCs w:val="32"/>
          <w14:textFill>
            <w14:solidFill>
              <w14:schemeClr w14:val="tx1"/>
            </w14:solidFill>
          </w14:textFill>
        </w:rPr>
        <w:t>奖励</w:t>
      </w:r>
      <w:r>
        <w:rPr>
          <w:rFonts w:ascii="仿宋_GB2312" w:hAnsi="仿宋" w:eastAsia="仿宋_GB2312" w:cs="仿宋"/>
          <w:color w:val="000000" w:themeColor="text1"/>
          <w:sz w:val="32"/>
          <w:szCs w:val="32"/>
          <w14:textFill>
            <w14:solidFill>
              <w14:schemeClr w14:val="tx1"/>
            </w14:solidFill>
          </w14:textFill>
        </w:rPr>
        <w:t>金额最高不超过100万元</w:t>
      </w:r>
      <w:r>
        <w:rPr>
          <w:rFonts w:hint="eastAsia" w:ascii="仿宋_GB2312" w:hAnsi="仿宋" w:eastAsia="仿宋_GB2312" w:cs="仿宋"/>
          <w:color w:val="000000" w:themeColor="text1"/>
          <w:sz w:val="32"/>
          <w:szCs w:val="32"/>
          <w14:textFill>
            <w14:solidFill>
              <w14:schemeClr w14:val="tx1"/>
            </w14:solidFill>
          </w14:textFill>
        </w:rPr>
        <w:t>。</w:t>
      </w:r>
    </w:p>
    <w:p>
      <w:pPr>
        <w:pStyle w:val="18"/>
        <w:tabs>
          <w:tab w:val="left" w:pos="0"/>
        </w:tabs>
        <w:spacing w:line="560" w:lineRule="exact"/>
        <w:ind w:firstLine="640"/>
        <w:rPr>
          <w:rFonts w:ascii="楷体" w:hAnsi="楷体" w:eastAsia="楷体" w:cs="仿宋"/>
          <w:bCs/>
          <w:color w:val="000000" w:themeColor="text1"/>
          <w:sz w:val="32"/>
          <w14:textFill>
            <w14:solidFill>
              <w14:schemeClr w14:val="tx1"/>
            </w14:solidFill>
          </w14:textFill>
        </w:rPr>
      </w:pPr>
      <w:r>
        <w:rPr>
          <w:rFonts w:hint="eastAsia" w:ascii="楷体" w:hAnsi="楷体" w:eastAsia="楷体" w:cs="仿宋"/>
          <w:bCs/>
          <w:color w:val="000000" w:themeColor="text1"/>
          <w:sz w:val="32"/>
          <w14:textFill>
            <w14:solidFill>
              <w14:schemeClr w14:val="tx1"/>
            </w14:solidFill>
          </w14:textFill>
        </w:rPr>
        <w:t>第五条</w:t>
      </w:r>
      <w:r>
        <w:rPr>
          <w:rFonts w:ascii="楷体" w:hAnsi="楷体" w:eastAsia="楷体" w:cs="仿宋"/>
          <w:bCs/>
          <w:color w:val="000000" w:themeColor="text1"/>
          <w:sz w:val="32"/>
          <w14:textFill>
            <w14:solidFill>
              <w14:schemeClr w14:val="tx1"/>
            </w14:solidFill>
          </w14:textFill>
        </w:rPr>
        <w:t xml:space="preserve"> </w:t>
      </w:r>
      <w:r>
        <w:rPr>
          <w:rFonts w:hint="eastAsia" w:ascii="楷体" w:hAnsi="楷体" w:eastAsia="楷体" w:cs="仿宋"/>
          <w:bCs/>
          <w:color w:val="000000" w:themeColor="text1"/>
          <w:sz w:val="32"/>
          <w14:textFill>
            <w14:solidFill>
              <w14:schemeClr w14:val="tx1"/>
            </w14:solidFill>
          </w14:textFill>
        </w:rPr>
        <w:t>支持电竞俱乐部和电竞赛事活动</w:t>
      </w:r>
    </w:p>
    <w:p>
      <w:pPr>
        <w:widowControl/>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（一）电竞俱乐部补贴</w:t>
      </w:r>
      <w:r>
        <w:rPr>
          <w:rFonts w:hint="eastAsia" w:ascii="仿宋_GB2312" w:hAnsi="仿宋" w:eastAsia="仿宋_GB2312" w:cs="仿宋"/>
          <w:color w:val="000000" w:themeColor="text1"/>
          <w:sz w:val="32"/>
          <w:szCs w:val="32"/>
          <w14:textFill>
            <w14:solidFill>
              <w14:schemeClr w14:val="tx1"/>
            </w14:solidFill>
          </w14:textFill>
        </w:rPr>
        <w:t>。对落户南山的一线电竞俱乐部</w:t>
      </w:r>
      <w:r>
        <w:rPr>
          <w:rFonts w:ascii="仿宋_GB2312" w:hAnsi="仿宋" w:eastAsia="仿宋_GB2312" w:cs="仿宋"/>
          <w:color w:val="000000" w:themeColor="text1"/>
          <w:sz w:val="32"/>
          <w:szCs w:val="32"/>
          <w14:textFill>
            <w14:solidFill>
              <w14:schemeClr w14:val="tx1"/>
            </w14:solidFill>
          </w14:textFill>
        </w:rPr>
        <w:t>，按照实际培训</w:t>
      </w:r>
      <w:r>
        <w:rPr>
          <w:rFonts w:hint="eastAsia" w:ascii="仿宋_GB2312" w:hAnsi="仿宋" w:eastAsia="仿宋_GB2312" w:cs="仿宋"/>
          <w:color w:val="000000" w:themeColor="text1"/>
          <w:sz w:val="32"/>
          <w:szCs w:val="32"/>
          <w14:textFill>
            <w14:solidFill>
              <w14:schemeClr w14:val="tx1"/>
            </w14:solidFill>
          </w14:textFill>
        </w:rPr>
        <w:t>、身心康复</w:t>
      </w:r>
      <w:r>
        <w:rPr>
          <w:rFonts w:ascii="仿宋_GB2312" w:hAnsi="仿宋" w:eastAsia="仿宋_GB2312" w:cs="仿宋"/>
          <w:color w:val="000000" w:themeColor="text1"/>
          <w:sz w:val="32"/>
          <w:szCs w:val="32"/>
          <w14:textFill>
            <w14:solidFill>
              <w14:schemeClr w14:val="tx1"/>
            </w14:solidFill>
          </w14:textFill>
        </w:rPr>
        <w:t>费用给予50%的补贴，每个俱乐部每年不超过50万元。联盟俱乐部的主场落户，一次性支持300万元。</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对参加总奖金超过</w:t>
      </w:r>
      <w:r>
        <w:rPr>
          <w:rFonts w:ascii="仿宋_GB2312" w:hAnsi="仿宋" w:eastAsia="仿宋_GB2312" w:cs="仿宋"/>
          <w:color w:val="000000" w:themeColor="text1"/>
          <w:sz w:val="32"/>
          <w:szCs w:val="32"/>
          <w14:textFill>
            <w14:solidFill>
              <w14:schemeClr w14:val="tx1"/>
            </w14:solidFill>
          </w14:textFill>
        </w:rPr>
        <w:t>100万美金的国际职业大赛、或总奖金超过300万元的全国职业联赛的电竞俱乐部，获得冠、亚、季军的，分别给予50万元、30万元、20万元奖励，每个俱乐部每年不超过100万元。获得亚运会电竞赛事冠、亚、季军的，分别给予100万元、80万元、50万元奖励。</w:t>
      </w:r>
    </w:p>
    <w:p>
      <w:pPr>
        <w:widowControl/>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（二）电竞赛事补贴</w:t>
      </w:r>
      <w:r>
        <w:rPr>
          <w:rFonts w:hint="eastAsia" w:ascii="仿宋_GB2312" w:hAnsi="仿宋" w:eastAsia="仿宋_GB2312" w:cs="仿宋"/>
          <w:color w:val="000000" w:themeColor="text1"/>
          <w:sz w:val="32"/>
          <w:szCs w:val="32"/>
          <w14:textFill>
            <w14:solidFill>
              <w14:schemeClr w14:val="tx1"/>
            </w14:solidFill>
          </w14:textFill>
        </w:rPr>
        <w:t>。支持举办具有国际影响力的顶级电竞赛事，每个赛事按不超过实际发生费用</w:t>
      </w:r>
      <w:r>
        <w:rPr>
          <w:rFonts w:ascii="仿宋_GB2312" w:hAnsi="仿宋" w:eastAsia="仿宋_GB2312" w:cs="仿宋"/>
          <w:color w:val="000000" w:themeColor="text1"/>
          <w:sz w:val="32"/>
          <w:szCs w:val="32"/>
          <w14:textFill>
            <w14:solidFill>
              <w14:schemeClr w14:val="tx1"/>
            </w14:solidFill>
          </w14:textFill>
        </w:rPr>
        <w:t>50%的比例</w:t>
      </w: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给予最高不超过300万元资助，每家单位每年资助金额最高不超过500万元。</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支持举办高校类、区域类等特色电竞赛事，每个赛事按不超过实际发生费用</w:t>
      </w:r>
      <w:r>
        <w:rPr>
          <w:rFonts w:ascii="仿宋_GB2312" w:hAnsi="仿宋" w:eastAsia="仿宋_GB2312" w:cs="仿宋"/>
          <w:color w:val="000000" w:themeColor="text1"/>
          <w:sz w:val="32"/>
          <w:szCs w:val="32"/>
          <w14:textFill>
            <w14:solidFill>
              <w14:schemeClr w14:val="tx1"/>
            </w14:solidFill>
          </w14:textFill>
        </w:rPr>
        <w:t>50%的比例</w:t>
      </w: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给予最高不超过</w:t>
      </w:r>
      <w:r>
        <w:rPr>
          <w:rFonts w:hint="eastAsia" w:ascii="仿宋_GB2312" w:hAnsi="仿宋" w:eastAsia="仿宋_GB2312" w:cs="仿宋"/>
          <w:color w:val="000000" w:themeColor="text1"/>
          <w:sz w:val="32"/>
          <w:szCs w:val="32"/>
          <w14:textFill>
            <w14:solidFill>
              <w14:schemeClr w14:val="tx1"/>
            </w14:solidFill>
          </w14:textFill>
        </w:rPr>
        <w:t>1</w:t>
      </w:r>
      <w:r>
        <w:rPr>
          <w:rFonts w:ascii="仿宋_GB2312" w:hAnsi="仿宋" w:eastAsia="仿宋_GB2312" w:cs="仿宋"/>
          <w:color w:val="000000" w:themeColor="text1"/>
          <w:sz w:val="32"/>
          <w:szCs w:val="32"/>
          <w14:textFill>
            <w14:solidFill>
              <w14:schemeClr w14:val="tx1"/>
            </w14:solidFill>
          </w14:textFill>
        </w:rPr>
        <w:t>00万元资助。</w:t>
      </w:r>
    </w:p>
    <w:p>
      <w:pPr>
        <w:spacing w:line="560" w:lineRule="exact"/>
        <w:ind w:firstLine="643" w:firstLineChars="200"/>
        <w:rPr>
          <w:rFonts w:hint="eastAsia" w:ascii="楷体" w:hAnsi="楷体" w:eastAsia="楷体" w:cs="仿宋"/>
          <w:bCs/>
          <w:color w:val="000000" w:themeColor="text1"/>
          <w:sz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（三）电竞活动补贴</w:t>
      </w:r>
      <w:r>
        <w:rPr>
          <w:rFonts w:hint="eastAsia" w:ascii="仿宋_GB2312" w:hAnsi="仿宋" w:eastAsia="仿宋_GB2312" w:cs="仿宋"/>
          <w:color w:val="000000" w:themeColor="text1"/>
          <w:sz w:val="32"/>
          <w:szCs w:val="32"/>
          <w14:textFill>
            <w14:solidFill>
              <w14:schemeClr w14:val="tx1"/>
            </w14:solidFill>
          </w14:textFill>
        </w:rPr>
        <w:t>。承办具有较大影响力的电竞展会、论坛及宣传活动，每个按不超过实际发生费用</w:t>
      </w:r>
      <w:r>
        <w:rPr>
          <w:rFonts w:ascii="仿宋_GB2312" w:hAnsi="仿宋" w:eastAsia="仿宋_GB2312" w:cs="仿宋"/>
          <w:color w:val="000000" w:themeColor="text1"/>
          <w:sz w:val="32"/>
          <w:szCs w:val="32"/>
          <w14:textFill>
            <w14:solidFill>
              <w14:schemeClr w14:val="tx1"/>
            </w14:solidFill>
          </w14:textFill>
        </w:rPr>
        <w:t>50%的比例给予资助，其中：承办区政府支持的电竞展会、论坛及宣传活动，每家单位每年资助金额最高不超过200万元；承办区文化广电旅游体育局支持的电竞展会、论坛及宣传活动，每家单位每年资助金额最高不超过100万元。同级财政对同个项目不重复资助。</w:t>
      </w:r>
      <w:bookmarkStart w:id="5" w:name="_Toc526894812"/>
    </w:p>
    <w:p>
      <w:pPr>
        <w:pStyle w:val="18"/>
        <w:tabs>
          <w:tab w:val="left" w:pos="0"/>
        </w:tabs>
        <w:spacing w:line="560" w:lineRule="exact"/>
        <w:ind w:firstLine="640"/>
        <w:rPr>
          <w:rFonts w:ascii="楷体" w:hAnsi="楷体" w:eastAsia="楷体" w:cs="仿宋"/>
          <w:bCs/>
          <w:color w:val="000000" w:themeColor="text1"/>
          <w:sz w:val="32"/>
          <w14:textFill>
            <w14:solidFill>
              <w14:schemeClr w14:val="tx1"/>
            </w14:solidFill>
          </w14:textFill>
        </w:rPr>
      </w:pPr>
      <w:r>
        <w:rPr>
          <w:rFonts w:hint="eastAsia" w:ascii="楷体" w:hAnsi="楷体" w:eastAsia="楷体" w:cs="仿宋"/>
          <w:bCs/>
          <w:color w:val="000000" w:themeColor="text1"/>
          <w:sz w:val="32"/>
          <w14:textFill>
            <w14:solidFill>
              <w14:schemeClr w14:val="tx1"/>
            </w14:solidFill>
          </w14:textFill>
        </w:rPr>
        <w:t>第六条</w:t>
      </w:r>
      <w:r>
        <w:rPr>
          <w:rFonts w:ascii="楷体" w:hAnsi="楷体" w:eastAsia="楷体" w:cs="仿宋"/>
          <w:bCs/>
          <w:color w:val="000000" w:themeColor="text1"/>
          <w:sz w:val="32"/>
          <w14:textFill>
            <w14:solidFill>
              <w14:schemeClr w14:val="tx1"/>
            </w14:solidFill>
          </w14:textFill>
        </w:rPr>
        <w:t xml:space="preserve"> </w:t>
      </w:r>
      <w:r>
        <w:rPr>
          <w:rFonts w:hint="eastAsia" w:ascii="楷体" w:hAnsi="楷体" w:eastAsia="楷体" w:cs="仿宋"/>
          <w:bCs/>
          <w:color w:val="000000" w:themeColor="text1"/>
          <w:sz w:val="32"/>
          <w14:textFill>
            <w14:solidFill>
              <w14:schemeClr w14:val="tx1"/>
            </w14:solidFill>
          </w14:textFill>
        </w:rPr>
        <w:t>引进和培育重点</w:t>
      </w:r>
      <w:bookmarkEnd w:id="5"/>
      <w:r>
        <w:rPr>
          <w:rFonts w:hint="eastAsia" w:ascii="楷体" w:hAnsi="楷体" w:eastAsia="楷体" w:cs="仿宋"/>
          <w:bCs/>
          <w:color w:val="000000" w:themeColor="text1"/>
          <w:sz w:val="32"/>
          <w14:textFill>
            <w14:solidFill>
              <w14:schemeClr w14:val="tx1"/>
            </w14:solidFill>
          </w14:textFill>
        </w:rPr>
        <w:t>电竞企业</w:t>
      </w:r>
    </w:p>
    <w:p>
      <w:pPr>
        <w:widowControl/>
        <w:spacing w:line="560" w:lineRule="exact"/>
        <w:ind w:firstLine="643"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（一）电竞企业购房补贴</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符合南山区骨干文化企业条件的电竞企业，给予不超过</w:t>
      </w:r>
      <w:r>
        <w:rPr>
          <w:rFonts w:ascii="仿宋_GB2312" w:hAnsi="仿宋_GB2312" w:eastAsia="仿宋_GB2312"/>
          <w:color w:val="000000" w:themeColor="text1"/>
          <w:sz w:val="32"/>
          <w:szCs w:val="32"/>
          <w14:textFill>
            <w14:solidFill>
              <w14:schemeClr w14:val="tx1"/>
            </w14:solidFill>
          </w14:textFill>
        </w:rPr>
        <w:t>1500万元的购置办公用房补贴；符合南山区总部企业条件的</w:t>
      </w:r>
      <w:r>
        <w:rPr>
          <w:rFonts w:hint="eastAsia" w:ascii="仿宋_GB2312" w:hAnsi="仿宋_GB2312" w:eastAsia="仿宋_GB2312"/>
          <w:color w:val="000000" w:themeColor="text1"/>
          <w:sz w:val="32"/>
          <w:szCs w:val="32"/>
          <w14:textFill>
            <w14:solidFill>
              <w14:schemeClr w14:val="tx1"/>
            </w14:solidFill>
          </w14:textFill>
        </w:rPr>
        <w:t>电竞企业，给予不超过</w:t>
      </w:r>
      <w:r>
        <w:rPr>
          <w:rFonts w:ascii="仿宋_GB2312" w:hAnsi="仿宋_GB2312" w:eastAsia="仿宋_GB2312"/>
          <w:color w:val="000000" w:themeColor="text1"/>
          <w:sz w:val="32"/>
          <w:szCs w:val="32"/>
          <w14:textFill>
            <w14:solidFill>
              <w14:schemeClr w14:val="tx1"/>
            </w14:solidFill>
          </w14:textFill>
        </w:rPr>
        <w:t>3000万元的购置办公用房补贴。</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（二）电竞企业租房补贴</w:t>
      </w:r>
      <w:r>
        <w:rPr>
          <w:rFonts w:hint="eastAsia" w:ascii="仿宋_GB2312" w:hAnsi="仿宋" w:eastAsia="仿宋_GB2312" w:cs="仿宋"/>
          <w:color w:val="000000" w:themeColor="text1"/>
          <w:sz w:val="32"/>
          <w:szCs w:val="32"/>
          <w14:textFill>
            <w14:solidFill>
              <w14:schemeClr w14:val="tx1"/>
            </w14:solidFill>
          </w14:textFill>
        </w:rPr>
        <w:t>。符合南山区骨干文化企业的电竞企业，</w:t>
      </w:r>
      <w:r>
        <w:rPr>
          <w:rFonts w:ascii="仿宋_GB2312" w:hAnsi="仿宋" w:eastAsia="仿宋_GB2312" w:cs="仿宋"/>
          <w:color w:val="000000" w:themeColor="text1"/>
          <w:sz w:val="32"/>
          <w:szCs w:val="32"/>
          <w14:textFill>
            <w14:solidFill>
              <w14:schemeClr w14:val="tx1"/>
            </w14:solidFill>
          </w14:textFill>
        </w:rPr>
        <w:t>按照每月50元/平方米的标准给予房租补贴，每个企业每年不超过150万元，补贴不超过3年。对上年度营收超过5000万元的</w:t>
      </w:r>
      <w:r>
        <w:rPr>
          <w:rFonts w:hint="eastAsia" w:ascii="仿宋_GB2312" w:hAnsi="仿宋" w:eastAsia="仿宋_GB2312" w:cs="仿宋"/>
          <w:color w:val="000000" w:themeColor="text1"/>
          <w:sz w:val="32"/>
          <w:szCs w:val="32"/>
          <w14:textFill>
            <w14:solidFill>
              <w14:schemeClr w14:val="tx1"/>
            </w14:solidFill>
          </w14:textFill>
        </w:rPr>
        <w:t>重点</w:t>
      </w:r>
      <w:r>
        <w:rPr>
          <w:rFonts w:ascii="仿宋_GB2312" w:hAnsi="仿宋" w:eastAsia="仿宋_GB2312" w:cs="仿宋"/>
          <w:color w:val="000000" w:themeColor="text1"/>
          <w:sz w:val="32"/>
          <w:szCs w:val="32"/>
          <w14:textFill>
            <w14:solidFill>
              <w14:schemeClr w14:val="tx1"/>
            </w14:solidFill>
          </w14:textFill>
        </w:rPr>
        <w:t>电竞企业，按照实际支付租金的25%给予补贴，每个</w:t>
      </w:r>
      <w:r>
        <w:rPr>
          <w:rFonts w:hint="eastAsia" w:ascii="仿宋_GB2312" w:hAnsi="仿宋" w:eastAsia="仿宋_GB2312" w:cs="仿宋"/>
          <w:color w:val="000000" w:themeColor="text1"/>
          <w:sz w:val="32"/>
          <w:szCs w:val="32"/>
          <w14:textFill>
            <w14:solidFill>
              <w14:schemeClr w14:val="tx1"/>
            </w14:solidFill>
          </w14:textFill>
        </w:rPr>
        <w:t>企业</w:t>
      </w:r>
      <w:r>
        <w:rPr>
          <w:rFonts w:ascii="仿宋_GB2312" w:hAnsi="仿宋" w:eastAsia="仿宋_GB2312" w:cs="仿宋"/>
          <w:color w:val="000000" w:themeColor="text1"/>
          <w:sz w:val="32"/>
          <w:szCs w:val="32"/>
          <w14:textFill>
            <w14:solidFill>
              <w14:schemeClr w14:val="tx1"/>
            </w14:solidFill>
          </w14:textFill>
        </w:rPr>
        <w:t>每年不超过60万元，补贴不超过3年。</w:t>
      </w:r>
    </w:p>
    <w:p>
      <w:pPr>
        <w:pStyle w:val="18"/>
        <w:tabs>
          <w:tab w:val="left" w:pos="0"/>
        </w:tabs>
        <w:spacing w:line="560" w:lineRule="exact"/>
        <w:ind w:firstLine="640"/>
        <w:rPr>
          <w:rFonts w:ascii="楷体" w:hAnsi="楷体" w:eastAsia="楷体" w:cs="仿宋"/>
          <w:bCs/>
          <w:color w:val="000000" w:themeColor="text1"/>
          <w:sz w:val="32"/>
          <w14:textFill>
            <w14:solidFill>
              <w14:schemeClr w14:val="tx1"/>
            </w14:solidFill>
          </w14:textFill>
        </w:rPr>
      </w:pPr>
      <w:bookmarkStart w:id="6" w:name="_Toc526894816"/>
      <w:r>
        <w:rPr>
          <w:rFonts w:hint="eastAsia" w:ascii="楷体" w:hAnsi="楷体" w:eastAsia="楷体" w:cs="仿宋"/>
          <w:bCs/>
          <w:color w:val="000000" w:themeColor="text1"/>
          <w:sz w:val="32"/>
          <w14:textFill>
            <w14:solidFill>
              <w14:schemeClr w14:val="tx1"/>
            </w14:solidFill>
          </w14:textFill>
        </w:rPr>
        <w:t>第七条</w:t>
      </w:r>
      <w:r>
        <w:rPr>
          <w:rFonts w:ascii="楷体" w:hAnsi="楷体" w:eastAsia="楷体" w:cs="仿宋"/>
          <w:bCs/>
          <w:color w:val="000000" w:themeColor="text1"/>
          <w:sz w:val="32"/>
          <w14:textFill>
            <w14:solidFill>
              <w14:schemeClr w14:val="tx1"/>
            </w14:solidFill>
          </w14:textFill>
        </w:rPr>
        <w:t xml:space="preserve"> </w:t>
      </w:r>
      <w:bookmarkEnd w:id="6"/>
      <w:r>
        <w:rPr>
          <w:rFonts w:hint="eastAsia" w:ascii="楷体" w:hAnsi="楷体" w:eastAsia="楷体" w:cs="仿宋"/>
          <w:bCs/>
          <w:color w:val="000000" w:themeColor="text1"/>
          <w:sz w:val="32"/>
          <w14:textFill>
            <w14:solidFill>
              <w14:schemeClr w14:val="tx1"/>
            </w14:solidFill>
          </w14:textFill>
        </w:rPr>
        <w:t>支持电竞场馆和电竞产业园建设</w:t>
      </w:r>
    </w:p>
    <w:p>
      <w:pPr>
        <w:widowControl/>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（一）电竞场馆建设补贴</w:t>
      </w:r>
      <w:r>
        <w:rPr>
          <w:rFonts w:hint="eastAsia" w:ascii="仿宋_GB2312" w:hAnsi="仿宋" w:eastAsia="仿宋_GB2312" w:cs="仿宋"/>
          <w:color w:val="000000" w:themeColor="text1"/>
          <w:sz w:val="32"/>
          <w:szCs w:val="32"/>
          <w14:textFill>
            <w14:solidFill>
              <w14:schemeClr w14:val="tx1"/>
            </w14:solidFill>
          </w14:textFill>
        </w:rPr>
        <w:t>。对在本区建设或改建电竞场馆，每年举办</w:t>
      </w:r>
      <w:r>
        <w:rPr>
          <w:rFonts w:ascii="仿宋_GB2312" w:hAnsi="仿宋" w:eastAsia="仿宋_GB2312" w:cs="仿宋"/>
          <w:color w:val="000000" w:themeColor="text1"/>
          <w:sz w:val="32"/>
          <w:szCs w:val="32"/>
          <w14:textFill>
            <w14:solidFill>
              <w14:schemeClr w14:val="tx1"/>
            </w14:solidFill>
          </w14:textFill>
        </w:rPr>
        <w:t>2场以上</w:t>
      </w:r>
      <w:r>
        <w:rPr>
          <w:rFonts w:hint="eastAsia" w:ascii="仿宋_GB2312" w:hAnsi="仿宋" w:eastAsia="仿宋_GB2312" w:cs="仿宋"/>
          <w:color w:val="000000" w:themeColor="text1"/>
          <w:sz w:val="32"/>
          <w:szCs w:val="32"/>
          <w14:textFill>
            <w14:solidFill>
              <w14:schemeClr w14:val="tx1"/>
            </w14:solidFill>
          </w14:textFill>
        </w:rPr>
        <w:t>顶级或特色电竞赛事</w:t>
      </w:r>
      <w:r>
        <w:rPr>
          <w:rFonts w:ascii="仿宋_GB2312" w:hAnsi="仿宋" w:eastAsia="仿宋_GB2312" w:cs="仿宋"/>
          <w:color w:val="000000" w:themeColor="text1"/>
          <w:sz w:val="32"/>
          <w:szCs w:val="32"/>
          <w14:textFill>
            <w14:solidFill>
              <w14:schemeClr w14:val="tx1"/>
            </w14:solidFill>
          </w14:textFill>
        </w:rPr>
        <w:t>的电竞场馆，按照项目实际投入资金的20%给予</w:t>
      </w:r>
      <w:r>
        <w:rPr>
          <w:rFonts w:hint="eastAsia" w:ascii="仿宋_GB2312" w:hAnsi="仿宋" w:eastAsia="仿宋_GB2312" w:cs="仿宋"/>
          <w:color w:val="000000" w:themeColor="text1"/>
          <w:sz w:val="32"/>
          <w:szCs w:val="32"/>
          <w14:textFill>
            <w14:solidFill>
              <w14:schemeClr w14:val="tx1"/>
            </w14:solidFill>
          </w14:textFill>
        </w:rPr>
        <w:t>一次性</w:t>
      </w:r>
      <w:r>
        <w:rPr>
          <w:rFonts w:ascii="仿宋_GB2312" w:hAnsi="仿宋" w:eastAsia="仿宋_GB2312" w:cs="仿宋"/>
          <w:color w:val="000000" w:themeColor="text1"/>
          <w:sz w:val="32"/>
          <w:szCs w:val="32"/>
          <w14:textFill>
            <w14:solidFill>
              <w14:schemeClr w14:val="tx1"/>
            </w14:solidFill>
          </w14:textFill>
        </w:rPr>
        <w:t>补贴，补贴不超过500万元；属于租赁物业的，按照实际支付租金的50%给予补贴，每年不超过100万元，补贴不超过3年。</w:t>
      </w:r>
    </w:p>
    <w:p>
      <w:pPr>
        <w:widowControl/>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（二）电竞产业园区建设补贴</w:t>
      </w:r>
      <w:r>
        <w:rPr>
          <w:rFonts w:hint="eastAsia" w:ascii="仿宋_GB2312" w:hAnsi="仿宋" w:eastAsia="仿宋_GB2312" w:cs="仿宋"/>
          <w:color w:val="000000" w:themeColor="text1"/>
          <w:sz w:val="32"/>
          <w:szCs w:val="32"/>
          <w14:textFill>
            <w14:solidFill>
              <w14:schemeClr w14:val="tx1"/>
            </w14:solidFill>
          </w14:textFill>
        </w:rPr>
        <w:t>。对被认定为市级以上文化产业园或体育产业园、电竞产业聚集发展的产业园给予建设补贴，按照基础设施建设实际投入资金的</w:t>
      </w:r>
      <w:r>
        <w:rPr>
          <w:rFonts w:ascii="仿宋_GB2312" w:hAnsi="仿宋" w:eastAsia="仿宋_GB2312" w:cs="仿宋"/>
          <w:color w:val="000000" w:themeColor="text1"/>
          <w:sz w:val="32"/>
          <w:szCs w:val="32"/>
          <w14:textFill>
            <w14:solidFill>
              <w14:schemeClr w14:val="tx1"/>
            </w14:solidFill>
          </w14:textFill>
        </w:rPr>
        <w:t>30%给予</w:t>
      </w:r>
      <w:r>
        <w:rPr>
          <w:rFonts w:hint="eastAsia" w:ascii="仿宋_GB2312" w:hAnsi="仿宋" w:eastAsia="仿宋_GB2312" w:cs="仿宋"/>
          <w:color w:val="000000" w:themeColor="text1"/>
          <w:sz w:val="32"/>
          <w:szCs w:val="32"/>
          <w14:textFill>
            <w14:solidFill>
              <w14:schemeClr w14:val="tx1"/>
            </w14:solidFill>
          </w14:textFill>
        </w:rPr>
        <w:t>一次性</w:t>
      </w:r>
      <w:r>
        <w:rPr>
          <w:rFonts w:ascii="仿宋_GB2312" w:hAnsi="仿宋" w:eastAsia="仿宋_GB2312" w:cs="仿宋"/>
          <w:color w:val="000000" w:themeColor="text1"/>
          <w:sz w:val="32"/>
          <w:szCs w:val="32"/>
          <w14:textFill>
            <w14:solidFill>
              <w14:schemeClr w14:val="tx1"/>
            </w14:solidFill>
          </w14:textFill>
        </w:rPr>
        <w:t>补贴，补贴</w:t>
      </w:r>
      <w:r>
        <w:rPr>
          <w:rFonts w:hint="eastAsia" w:ascii="仿宋_GB2312" w:hAnsi="仿宋" w:eastAsia="仿宋_GB2312" w:cs="仿宋"/>
          <w:color w:val="000000" w:themeColor="text1"/>
          <w:sz w:val="32"/>
          <w:szCs w:val="32"/>
          <w14:textFill>
            <w14:solidFill>
              <w14:schemeClr w14:val="tx1"/>
            </w14:solidFill>
          </w14:textFill>
        </w:rPr>
        <w:t>不超过</w:t>
      </w:r>
      <w:r>
        <w:rPr>
          <w:rFonts w:ascii="仿宋_GB2312" w:hAnsi="仿宋" w:eastAsia="仿宋_GB2312" w:cs="仿宋"/>
          <w:color w:val="000000" w:themeColor="text1"/>
          <w:sz w:val="32"/>
          <w:szCs w:val="32"/>
          <w14:textFill>
            <w14:solidFill>
              <w14:schemeClr w14:val="tx1"/>
            </w14:solidFill>
          </w14:textFill>
        </w:rPr>
        <w:t>300万元。入驻园区的电竞企业，上年度营收达到500万元的，补贴标准为不超过实际租金的25%，每家企业每年不超过50万元；“四上”在库企业补贴标准不超过实际租金的30%，每家企业每年不超过60万元；上年度收入超亿元企业补贴标准不超过实际租金的35%，每家企业每年不超过70万元；每家企业补贴不超过3年。</w:t>
      </w:r>
      <w:r>
        <w:rPr>
          <w:rFonts w:hint="eastAsia" w:ascii="仿宋_GB2312" w:hAnsi="仿宋" w:eastAsia="仿宋_GB2312" w:cs="仿宋"/>
          <w:color w:val="000000" w:themeColor="text1"/>
          <w:sz w:val="32"/>
          <w:szCs w:val="32"/>
          <w14:textFill>
            <w14:solidFill>
              <w14:schemeClr w14:val="tx1"/>
            </w14:solidFill>
          </w14:textFill>
        </w:rPr>
        <w:t>对“三旧”改造为电竞产业园区，在被认定为市级以上文化产业园或体育产业园之前，给予园区入驻电竞企业房租补贴，补贴标准为每平米不超过20</w:t>
      </w:r>
      <w:r>
        <w:rPr>
          <w:rFonts w:ascii="仿宋_GB2312" w:hAnsi="仿宋" w:eastAsia="仿宋_GB2312" w:cs="仿宋"/>
          <w:color w:val="000000" w:themeColor="text1"/>
          <w:sz w:val="32"/>
          <w:szCs w:val="32"/>
          <w14:textFill>
            <w14:solidFill>
              <w14:schemeClr w14:val="tx1"/>
            </w14:solidFill>
          </w14:textFill>
        </w:rPr>
        <w:t>元，每个入驻电竞企业房租补贴不超过</w:t>
      </w:r>
      <w:r>
        <w:rPr>
          <w:rFonts w:hint="eastAsia" w:ascii="仿宋_GB2312" w:hAnsi="仿宋" w:eastAsia="仿宋_GB2312" w:cs="仿宋"/>
          <w:color w:val="000000" w:themeColor="text1"/>
          <w:sz w:val="32"/>
          <w:szCs w:val="32"/>
          <w14:textFill>
            <w14:solidFill>
              <w14:schemeClr w14:val="tx1"/>
            </w14:solidFill>
          </w14:textFill>
        </w:rPr>
        <w:t>50</w:t>
      </w:r>
      <w:r>
        <w:rPr>
          <w:rFonts w:ascii="仿宋_GB2312" w:hAnsi="仿宋" w:eastAsia="仿宋_GB2312" w:cs="仿宋"/>
          <w:color w:val="000000" w:themeColor="text1"/>
          <w:sz w:val="32"/>
          <w:szCs w:val="32"/>
          <w14:textFill>
            <w14:solidFill>
              <w14:schemeClr w14:val="tx1"/>
            </w14:solidFill>
          </w14:textFill>
        </w:rPr>
        <w:t>万元，</w:t>
      </w:r>
      <w:r>
        <w:rPr>
          <w:rFonts w:hint="eastAsia" w:ascii="仿宋_GB2312" w:hAnsi="仿宋" w:eastAsia="仿宋_GB2312" w:cs="仿宋"/>
          <w:color w:val="000000" w:themeColor="text1"/>
          <w:sz w:val="32"/>
          <w:szCs w:val="32"/>
          <w14:textFill>
            <w14:solidFill>
              <w14:schemeClr w14:val="tx1"/>
            </w14:solidFill>
          </w14:textFill>
        </w:rPr>
        <w:t>每个园区房租补贴总额不超过150</w:t>
      </w:r>
      <w:r>
        <w:rPr>
          <w:rFonts w:ascii="仿宋_GB2312" w:hAnsi="仿宋" w:eastAsia="仿宋_GB2312" w:cs="仿宋"/>
          <w:color w:val="000000" w:themeColor="text1"/>
          <w:sz w:val="32"/>
          <w:szCs w:val="32"/>
          <w14:textFill>
            <w14:solidFill>
              <w14:schemeClr w14:val="tx1"/>
            </w14:solidFill>
          </w14:textFill>
        </w:rPr>
        <w:t>万元</w:t>
      </w:r>
      <w:r>
        <w:rPr>
          <w:rFonts w:hint="eastAsia" w:ascii="仿宋_GB2312" w:hAnsi="仿宋" w:eastAsia="仿宋_GB2312" w:cs="仿宋"/>
          <w:color w:val="000000" w:themeColor="text1"/>
          <w:sz w:val="32"/>
          <w:szCs w:val="32"/>
          <w14:textFill>
            <w14:solidFill>
              <w14:schemeClr w14:val="tx1"/>
            </w14:solidFill>
          </w14:textFill>
        </w:rPr>
        <w:t>，补贴期限不超过2年。</w:t>
      </w:r>
    </w:p>
    <w:p>
      <w:pPr>
        <w:widowControl/>
        <w:spacing w:line="560" w:lineRule="exact"/>
        <w:ind w:firstLine="643"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（三）电竞产业园运营奖励</w:t>
      </w:r>
      <w:r>
        <w:rPr>
          <w:rFonts w:hint="eastAsia" w:ascii="仿宋_GB2312" w:hAnsi="仿宋" w:eastAsia="仿宋_GB2312" w:cs="仿宋"/>
          <w:color w:val="000000" w:themeColor="text1"/>
          <w:sz w:val="32"/>
          <w:szCs w:val="32"/>
          <w14:textFill>
            <w14:solidFill>
              <w14:schemeClr w14:val="tx1"/>
            </w14:solidFill>
          </w14:textFill>
        </w:rPr>
        <w:t>。电竞产业园内“四上”在库电竞企业每增加</w:t>
      </w:r>
      <w:r>
        <w:rPr>
          <w:rFonts w:ascii="仿宋_GB2312" w:hAnsi="仿宋" w:eastAsia="仿宋_GB2312" w:cs="仿宋"/>
          <w:color w:val="000000" w:themeColor="text1"/>
          <w:sz w:val="32"/>
          <w:szCs w:val="32"/>
          <w14:textFill>
            <w14:solidFill>
              <w14:schemeClr w14:val="tx1"/>
            </w14:solidFill>
          </w14:textFill>
        </w:rPr>
        <w:t>5家，对运营单位奖励10万元；“四上”在库电竞企业年度总营收同比每增长20％的，奖励运营单位30万元；培育或引进年收入超1亿元电竞企业，按照每家20万元给予运营单位奖励；培育或引进上市公司，按照每家30万元给予运营单位奖励。每个电竞产业园运营单位每年奖励不超过150万元。</w:t>
      </w:r>
    </w:p>
    <w:p>
      <w:pPr>
        <w:pStyle w:val="18"/>
        <w:tabs>
          <w:tab w:val="left" w:pos="0"/>
        </w:tabs>
        <w:spacing w:line="560" w:lineRule="exact"/>
        <w:jc w:val="left"/>
        <w:rPr>
          <w:rFonts w:ascii="楷体" w:hAnsi="楷体" w:eastAsia="楷体" w:cs="仿宋"/>
          <w:bCs/>
          <w:color w:val="000000" w:themeColor="text1"/>
          <w:sz w:val="32"/>
          <w14:textFill>
            <w14:solidFill>
              <w14:schemeClr w14:val="tx1"/>
            </w14:solidFill>
          </w14:textFill>
        </w:rPr>
      </w:pPr>
      <w:r>
        <w:rPr>
          <w:rFonts w:hint="eastAsia" w:ascii="楷体" w:hAnsi="楷体" w:eastAsia="楷体" w:cs="仿宋"/>
          <w:bCs/>
          <w:color w:val="000000" w:themeColor="text1"/>
          <w:sz w:val="32"/>
          <w14:textFill>
            <w14:solidFill>
              <w14:schemeClr w14:val="tx1"/>
            </w14:solidFill>
          </w14:textFill>
        </w:rPr>
        <w:t>第八条</w:t>
      </w:r>
      <w:r>
        <w:rPr>
          <w:rFonts w:ascii="楷体" w:hAnsi="楷体" w:eastAsia="楷体" w:cs="仿宋"/>
          <w:bCs/>
          <w:color w:val="000000" w:themeColor="text1"/>
          <w:sz w:val="32"/>
          <w14:textFill>
            <w14:solidFill>
              <w14:schemeClr w14:val="tx1"/>
            </w14:solidFill>
          </w14:textFill>
        </w:rPr>
        <w:t xml:space="preserve"> </w:t>
      </w:r>
      <w:r>
        <w:rPr>
          <w:rFonts w:hint="eastAsia" w:ascii="楷体" w:hAnsi="楷体" w:eastAsia="楷体" w:cs="仿宋"/>
          <w:bCs/>
          <w:color w:val="000000" w:themeColor="text1"/>
          <w:sz w:val="32"/>
          <w14:textFill>
            <w14:solidFill>
              <w14:schemeClr w14:val="tx1"/>
            </w14:solidFill>
          </w14:textFill>
        </w:rPr>
        <w:t>支持电竞产业基金及投融资服务</w:t>
      </w:r>
    </w:p>
    <w:p>
      <w:pPr>
        <w:widowControl/>
        <w:spacing w:line="560" w:lineRule="exact"/>
        <w:ind w:firstLine="643"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（一）电竞投资基金投资奖励</w:t>
      </w:r>
      <w:r>
        <w:rPr>
          <w:rFonts w:hint="eastAsia" w:ascii="仿宋_GB2312" w:hAnsi="仿宋" w:eastAsia="仿宋_GB2312" w:cs="仿宋"/>
          <w:color w:val="000000" w:themeColor="text1"/>
          <w:sz w:val="32"/>
          <w:szCs w:val="32"/>
          <w14:textFill>
            <w14:solidFill>
              <w14:schemeClr w14:val="tx1"/>
            </w14:solidFill>
          </w14:textFill>
        </w:rPr>
        <w:t>。支持南山区投资基金投资南山区电竞企业，引导其他行业重点企业和社会资本投资或赞助电竞企业、电竞场馆和电竞赛事，按照投资实际到账金额的</w:t>
      </w:r>
      <w:r>
        <w:rPr>
          <w:rFonts w:ascii="仿宋_GB2312" w:hAnsi="仿宋" w:eastAsia="仿宋_GB2312" w:cs="仿宋"/>
          <w:color w:val="000000" w:themeColor="text1"/>
          <w:sz w:val="32"/>
          <w:szCs w:val="32"/>
          <w14:textFill>
            <w14:solidFill>
              <w14:schemeClr w14:val="tx1"/>
            </w14:solidFill>
          </w14:textFill>
        </w:rPr>
        <w:t>3%给予奖励，每家基金管理机构或企业每年不超过200万元。</w:t>
      </w:r>
    </w:p>
    <w:p>
      <w:pPr>
        <w:widowControl/>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（二）电竞企业上市奖励</w:t>
      </w:r>
      <w:r>
        <w:rPr>
          <w:rFonts w:hint="eastAsia" w:ascii="仿宋_GB2312" w:hAnsi="仿宋" w:eastAsia="仿宋_GB2312" w:cs="仿宋"/>
          <w:color w:val="000000" w:themeColor="text1"/>
          <w:sz w:val="32"/>
          <w:szCs w:val="32"/>
          <w14:textFill>
            <w14:solidFill>
              <w14:schemeClr w14:val="tx1"/>
            </w14:solidFill>
          </w14:textFill>
        </w:rPr>
        <w:t>。对计划在境内主板、中小板、创业板以及海外主要资本市场主板上市的企业，在区上市办进行了股改备案登记并已聘请中介机构完成股份制改造的，给予</w:t>
      </w:r>
      <w:r>
        <w:rPr>
          <w:rFonts w:ascii="仿宋_GB2312" w:hAnsi="仿宋" w:eastAsia="仿宋_GB2312" w:cs="仿宋"/>
          <w:color w:val="000000" w:themeColor="text1"/>
          <w:sz w:val="32"/>
          <w:szCs w:val="32"/>
          <w14:textFill>
            <w14:solidFill>
              <w14:schemeClr w14:val="tx1"/>
            </w14:solidFill>
          </w14:textFill>
        </w:rPr>
        <w:t>60万元奖励；已聘请中介机构进行上市辅导，并向有关管理机构递交上市申请材料获得正式受理的，给予140万元奖励；在全国中小企业股份转让系统挂牌的企业，给予60万元奖励。</w:t>
      </w:r>
    </w:p>
    <w:p>
      <w:pPr>
        <w:pStyle w:val="18"/>
        <w:tabs>
          <w:tab w:val="left" w:pos="0"/>
        </w:tabs>
        <w:spacing w:line="560" w:lineRule="exact"/>
        <w:ind w:firstLine="640"/>
        <w:jc w:val="left"/>
        <w:rPr>
          <w:rFonts w:ascii="楷体" w:hAnsi="楷体" w:eastAsia="楷体" w:cs="仿宋"/>
          <w:bCs/>
          <w:color w:val="000000" w:themeColor="text1"/>
          <w:sz w:val="32"/>
          <w14:textFill>
            <w14:solidFill>
              <w14:schemeClr w14:val="tx1"/>
            </w14:solidFill>
          </w14:textFill>
        </w:rPr>
      </w:pPr>
      <w:r>
        <w:rPr>
          <w:rFonts w:hint="eastAsia" w:ascii="楷体" w:hAnsi="楷体" w:eastAsia="楷体" w:cs="仿宋"/>
          <w:bCs/>
          <w:color w:val="000000" w:themeColor="text1"/>
          <w:sz w:val="32"/>
          <w14:textFill>
            <w14:solidFill>
              <w14:schemeClr w14:val="tx1"/>
            </w14:solidFill>
          </w14:textFill>
        </w:rPr>
        <w:t>第九条</w:t>
      </w:r>
      <w:r>
        <w:rPr>
          <w:rFonts w:ascii="楷体" w:hAnsi="楷体" w:eastAsia="楷体" w:cs="仿宋"/>
          <w:bCs/>
          <w:color w:val="000000" w:themeColor="text1"/>
          <w:sz w:val="32"/>
          <w14:textFill>
            <w14:solidFill>
              <w14:schemeClr w14:val="tx1"/>
            </w14:solidFill>
          </w14:textFill>
        </w:rPr>
        <w:t xml:space="preserve"> </w:t>
      </w:r>
      <w:r>
        <w:rPr>
          <w:rFonts w:hint="eastAsia" w:ascii="楷体" w:hAnsi="楷体" w:eastAsia="楷体" w:cs="仿宋"/>
          <w:bCs/>
          <w:color w:val="000000" w:themeColor="text1"/>
          <w:sz w:val="32"/>
          <w14:textFill>
            <w14:solidFill>
              <w14:schemeClr w14:val="tx1"/>
            </w14:solidFill>
          </w14:textFill>
        </w:rPr>
        <w:t>支持电竞教育培训</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行业领先的电竞教育机构从事电竞教育培训，经认定的人才实训基地按照实际投入的30%给予一次性补贴，每个机构补贴总额不超过100万元；租用教室的电竞教育机构，按照实际支付租金的25%给予补贴，每个机构每年不超过50万元</w:t>
      </w:r>
      <w:r>
        <w:rPr>
          <w:rFonts w:ascii="仿宋_GB2312" w:hAnsi="仿宋" w:eastAsia="仿宋_GB2312" w:cs="仿宋"/>
          <w:color w:val="000000" w:themeColor="text1"/>
          <w:sz w:val="32"/>
          <w:szCs w:val="32"/>
          <w14:textFill>
            <w14:solidFill>
              <w14:schemeClr w14:val="tx1"/>
            </w14:solidFill>
          </w14:textFill>
        </w:rPr>
        <w:t>。</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p>
    <w:p>
      <w:pPr>
        <w:numPr>
          <w:ilvl w:val="255"/>
          <w:numId w:val="0"/>
        </w:numPr>
        <w:spacing w:line="560" w:lineRule="exact"/>
        <w:jc w:val="center"/>
        <w:rPr>
          <w:rFonts w:ascii="仿宋_GB2312" w:hAnsi="黑体" w:eastAsia="仿宋_GB2312"/>
          <w:color w:val="000000" w:themeColor="text1"/>
          <w14:textFill>
            <w14:solidFill>
              <w14:schemeClr w14:val="tx1"/>
            </w14:solidFill>
          </w14:textFill>
        </w:rPr>
      </w:pPr>
      <w:bookmarkStart w:id="7" w:name="_Toc526894828"/>
      <w:r>
        <w:rPr>
          <w:rFonts w:hint="eastAsia" w:ascii="黑体" w:hAnsi="黑体" w:eastAsia="黑体"/>
          <w:color w:val="000000" w:themeColor="text1"/>
          <w:sz w:val="32"/>
          <w:szCs w:val="32"/>
          <w14:textFill>
            <w14:solidFill>
              <w14:schemeClr w14:val="tx1"/>
            </w14:solidFill>
          </w14:textFill>
        </w:rPr>
        <w:t>第四章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申请、审核</w:t>
      </w:r>
      <w:bookmarkEnd w:id="7"/>
      <w:bookmarkStart w:id="8" w:name="_Toc526894829"/>
      <w:r>
        <w:rPr>
          <w:rFonts w:hint="eastAsia" w:ascii="黑体" w:hAnsi="黑体" w:eastAsia="黑体"/>
          <w:color w:val="000000" w:themeColor="text1"/>
          <w:sz w:val="32"/>
          <w:szCs w:val="32"/>
          <w14:textFill>
            <w14:solidFill>
              <w14:schemeClr w14:val="tx1"/>
            </w14:solidFill>
          </w14:textFill>
        </w:rPr>
        <w:t>和发放</w:t>
      </w:r>
    </w:p>
    <w:p>
      <w:pPr>
        <w:spacing w:line="560" w:lineRule="exact"/>
        <w:rPr>
          <w:rFonts w:ascii="仿宋_GB2312" w:eastAsia="仿宋_GB2312"/>
          <w:color w:val="000000" w:themeColor="text1"/>
          <w14:textFill>
            <w14:solidFill>
              <w14:schemeClr w14:val="tx1"/>
            </w14:solidFill>
          </w14:textFill>
        </w:rPr>
      </w:pPr>
    </w:p>
    <w:p>
      <w:pPr>
        <w:tabs>
          <w:tab w:val="left" w:pos="0"/>
        </w:tabs>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第十条</w:t>
      </w:r>
      <w:r>
        <w:rPr>
          <w:rFonts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南山区文化广电旅游体育局原则上每年一次集中受理申请，具体时间以公告为准。受理申请后，</w:t>
      </w:r>
      <w:r>
        <w:rPr>
          <w:rFonts w:ascii="仿宋_GB2312" w:hAnsi="仿宋_GB2312" w:eastAsia="仿宋_GB2312"/>
          <w:color w:val="000000" w:themeColor="text1"/>
          <w:sz w:val="32"/>
          <w:szCs w:val="32"/>
          <w14:textFill>
            <w14:solidFill>
              <w14:schemeClr w14:val="tx1"/>
            </w14:solidFill>
          </w14:textFill>
        </w:rPr>
        <w:t>30</w:t>
      </w:r>
      <w:r>
        <w:rPr>
          <w:rFonts w:hint="eastAsia" w:ascii="仿宋_GB2312" w:hAnsi="仿宋_GB2312" w:eastAsia="仿宋_GB2312"/>
          <w:color w:val="000000" w:themeColor="text1"/>
          <w:sz w:val="32"/>
          <w:szCs w:val="32"/>
          <w14:textFill>
            <w14:solidFill>
              <w14:schemeClr w14:val="tx1"/>
            </w14:solidFill>
          </w14:textFill>
        </w:rPr>
        <w:t>个工作日内对申请项目进行审核。</w:t>
      </w:r>
    </w:p>
    <w:p>
      <w:pPr>
        <w:tabs>
          <w:tab w:val="left" w:pos="0"/>
        </w:tabs>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第十一条</w:t>
      </w:r>
      <w:r>
        <w:rPr>
          <w:rFonts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经核准或评审予以支持的项目，按照《南山区自主创新产业发展专项资金文化产业发展分项资金实施细则（试行）》的程序和规定拨付产业资金。</w:t>
      </w:r>
    </w:p>
    <w:p>
      <w:pPr>
        <w:tabs>
          <w:tab w:val="left" w:pos="0"/>
        </w:tabs>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第十二条</w:t>
      </w:r>
      <w:r>
        <w:rPr>
          <w:rFonts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违反《南山区自主创新产业发展专项资金管理办法》及相关法律法规禁止性规定的，将取消本年度申请资格，对已发放的扶持资金予以追缴，</w:t>
      </w: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年内不得申请任何形式的南山区产业扶持资金；情节严重的，将纳入不诚信名单；涉嫌犯罪的，移交司法机关依法追究刑事责任。</w:t>
      </w:r>
    </w:p>
    <w:p>
      <w:pPr>
        <w:spacing w:line="560" w:lineRule="exact"/>
        <w:rPr>
          <w:rFonts w:ascii="仿宋_GB2312" w:hAnsi="华文仿宋" w:eastAsia="仿宋_GB2312"/>
          <w:b/>
          <w:color w:val="000000" w:themeColor="text1"/>
          <w:sz w:val="32"/>
          <w14:textFill>
            <w14:solidFill>
              <w14:schemeClr w14:val="tx1"/>
            </w14:solidFill>
          </w14:textFill>
        </w:rPr>
      </w:pPr>
    </w:p>
    <w:p>
      <w:pPr>
        <w:numPr>
          <w:ilvl w:val="255"/>
          <w:numId w:val="0"/>
        </w:num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附</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则</w:t>
      </w:r>
    </w:p>
    <w:p>
      <w:pPr>
        <w:spacing w:line="560" w:lineRule="exact"/>
        <w:rPr>
          <w:color w:val="000000" w:themeColor="text1"/>
          <w14:textFill>
            <w14:solidFill>
              <w14:schemeClr w14:val="tx1"/>
            </w14:solidFill>
          </w14:textFill>
        </w:rPr>
      </w:pPr>
    </w:p>
    <w:p>
      <w:pPr>
        <w:tabs>
          <w:tab w:val="left" w:pos="0"/>
        </w:tabs>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第十三条</w:t>
      </w:r>
      <w:r>
        <w:rPr>
          <w:rFonts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本细则所称的“以上”“不超过”包含本数，“以内”不包含本数。</w:t>
      </w:r>
    </w:p>
    <w:p>
      <w:pPr>
        <w:tabs>
          <w:tab w:val="left" w:pos="0"/>
        </w:tabs>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第十四条</w:t>
      </w:r>
      <w:r>
        <w:rPr>
          <w:rFonts w:ascii="仿宋_GB2312" w:hAnsi="黑体" w:eastAsia="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本细则由南山区文化广电旅游体育局负责解释。</w:t>
      </w:r>
    </w:p>
    <w:p>
      <w:pPr>
        <w:tabs>
          <w:tab w:val="left" w:pos="0"/>
        </w:tabs>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第十五条</w:t>
      </w:r>
      <w:r>
        <w:rPr>
          <w:rFonts w:ascii="仿宋_GB2312" w:hAnsi="黑体" w:eastAsia="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本细则自发布之日起施行，有效期至</w:t>
      </w:r>
      <w:r>
        <w:rPr>
          <w:rFonts w:ascii="仿宋_GB2312" w:hAnsi="仿宋_GB2312" w:eastAsia="仿宋_GB2312"/>
          <w:color w:val="000000" w:themeColor="text1"/>
          <w:sz w:val="32"/>
          <w:szCs w:val="32"/>
          <w14:textFill>
            <w14:solidFill>
              <w14:schemeClr w14:val="tx1"/>
            </w14:solidFill>
          </w14:textFill>
        </w:rPr>
        <w:t>2023</w:t>
      </w:r>
      <w:r>
        <w:rPr>
          <w:rFonts w:hint="eastAsia" w:ascii="仿宋_GB2312" w:hAnsi="仿宋_GB2312" w:eastAsia="仿宋_GB2312"/>
          <w:color w:val="000000" w:themeColor="text1"/>
          <w:sz w:val="32"/>
          <w:szCs w:val="32"/>
          <w14:textFill>
            <w14:solidFill>
              <w14:schemeClr w14:val="tx1"/>
            </w14:solidFill>
          </w14:textFill>
        </w:rPr>
        <w:t>年</w:t>
      </w:r>
      <w:r>
        <w:rPr>
          <w:rFonts w:ascii="仿宋_GB2312" w:hAnsi="仿宋_GB2312" w:eastAsia="仿宋_GB2312"/>
          <w:color w:val="000000" w:themeColor="text1"/>
          <w:sz w:val="32"/>
          <w:szCs w:val="32"/>
          <w14:textFill>
            <w14:solidFill>
              <w14:schemeClr w14:val="tx1"/>
            </w14:solidFill>
          </w14:textFill>
        </w:rPr>
        <w:t>12</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31</w:t>
      </w:r>
      <w:r>
        <w:rPr>
          <w:rFonts w:hint="eastAsia" w:ascii="仿宋_GB2312" w:hAnsi="仿宋_GB2312" w:eastAsia="仿宋_GB2312"/>
          <w:color w:val="000000" w:themeColor="text1"/>
          <w:sz w:val="32"/>
          <w:szCs w:val="32"/>
          <w14:textFill>
            <w14:solidFill>
              <w14:schemeClr w14:val="tx1"/>
            </w14:solidFill>
          </w14:textFill>
        </w:rPr>
        <w:t>日。</w:t>
      </w:r>
      <w:bookmarkEnd w:id="8"/>
    </w:p>
    <w:sectPr>
      <w:footerReference r:id="rId4" w:type="first"/>
      <w:footerReference r:id="rId3" w:type="default"/>
      <w:type w:val="continuous"/>
      <w:pgSz w:w="11906" w:h="16838"/>
      <w:pgMar w:top="1474" w:right="1701" w:bottom="1474"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DF"/>
    <w:rsid w:val="00005F29"/>
    <w:rsid w:val="00012006"/>
    <w:rsid w:val="00012707"/>
    <w:rsid w:val="0001636F"/>
    <w:rsid w:val="00031122"/>
    <w:rsid w:val="00032B75"/>
    <w:rsid w:val="00053350"/>
    <w:rsid w:val="00073225"/>
    <w:rsid w:val="000877EB"/>
    <w:rsid w:val="000A17B6"/>
    <w:rsid w:val="000A275C"/>
    <w:rsid w:val="000C5A84"/>
    <w:rsid w:val="000D1106"/>
    <w:rsid w:val="000D7508"/>
    <w:rsid w:val="000D7BCC"/>
    <w:rsid w:val="0013459D"/>
    <w:rsid w:val="0017432A"/>
    <w:rsid w:val="00185E5E"/>
    <w:rsid w:val="00197075"/>
    <w:rsid w:val="001C3AC3"/>
    <w:rsid w:val="001C6882"/>
    <w:rsid w:val="001E118F"/>
    <w:rsid w:val="001F541C"/>
    <w:rsid w:val="00201D9A"/>
    <w:rsid w:val="002060B2"/>
    <w:rsid w:val="002101E3"/>
    <w:rsid w:val="0022317B"/>
    <w:rsid w:val="00224A28"/>
    <w:rsid w:val="00246946"/>
    <w:rsid w:val="00251B85"/>
    <w:rsid w:val="002753F2"/>
    <w:rsid w:val="00287C9D"/>
    <w:rsid w:val="00292CA2"/>
    <w:rsid w:val="002A1215"/>
    <w:rsid w:val="002B6BDF"/>
    <w:rsid w:val="002C342A"/>
    <w:rsid w:val="002C5FB6"/>
    <w:rsid w:val="002D4DA5"/>
    <w:rsid w:val="002D5463"/>
    <w:rsid w:val="002E15D7"/>
    <w:rsid w:val="002F2DB0"/>
    <w:rsid w:val="002F5DBB"/>
    <w:rsid w:val="0031063A"/>
    <w:rsid w:val="00333278"/>
    <w:rsid w:val="00341024"/>
    <w:rsid w:val="00341626"/>
    <w:rsid w:val="0034692A"/>
    <w:rsid w:val="00367AA1"/>
    <w:rsid w:val="003A39F4"/>
    <w:rsid w:val="003B138D"/>
    <w:rsid w:val="003C50F8"/>
    <w:rsid w:val="003E4A7A"/>
    <w:rsid w:val="00413896"/>
    <w:rsid w:val="00420593"/>
    <w:rsid w:val="004336EB"/>
    <w:rsid w:val="004378CC"/>
    <w:rsid w:val="004425BE"/>
    <w:rsid w:val="00461728"/>
    <w:rsid w:val="0046559F"/>
    <w:rsid w:val="004940B8"/>
    <w:rsid w:val="004A2505"/>
    <w:rsid w:val="004A7EE5"/>
    <w:rsid w:val="004E4541"/>
    <w:rsid w:val="004E68FE"/>
    <w:rsid w:val="004E7B14"/>
    <w:rsid w:val="004F4232"/>
    <w:rsid w:val="00517604"/>
    <w:rsid w:val="00533212"/>
    <w:rsid w:val="005403BD"/>
    <w:rsid w:val="00562025"/>
    <w:rsid w:val="00584CEC"/>
    <w:rsid w:val="005A35E0"/>
    <w:rsid w:val="005A6682"/>
    <w:rsid w:val="005D5136"/>
    <w:rsid w:val="006369DF"/>
    <w:rsid w:val="00641A8F"/>
    <w:rsid w:val="0066265D"/>
    <w:rsid w:val="00677AD8"/>
    <w:rsid w:val="00684C43"/>
    <w:rsid w:val="00684DA0"/>
    <w:rsid w:val="00685739"/>
    <w:rsid w:val="006949D1"/>
    <w:rsid w:val="006A1058"/>
    <w:rsid w:val="006A2CA5"/>
    <w:rsid w:val="006A73EF"/>
    <w:rsid w:val="006B4E00"/>
    <w:rsid w:val="006D267D"/>
    <w:rsid w:val="006D31D0"/>
    <w:rsid w:val="006F70B0"/>
    <w:rsid w:val="00702DE6"/>
    <w:rsid w:val="00707277"/>
    <w:rsid w:val="00707BDD"/>
    <w:rsid w:val="007241B8"/>
    <w:rsid w:val="00735120"/>
    <w:rsid w:val="007373C3"/>
    <w:rsid w:val="00737C0F"/>
    <w:rsid w:val="007726A8"/>
    <w:rsid w:val="007769C2"/>
    <w:rsid w:val="007940A4"/>
    <w:rsid w:val="007C0EA0"/>
    <w:rsid w:val="007E72FE"/>
    <w:rsid w:val="00810D80"/>
    <w:rsid w:val="00812E61"/>
    <w:rsid w:val="00822B10"/>
    <w:rsid w:val="00823626"/>
    <w:rsid w:val="00832853"/>
    <w:rsid w:val="00842881"/>
    <w:rsid w:val="008479EA"/>
    <w:rsid w:val="00847F0D"/>
    <w:rsid w:val="00863467"/>
    <w:rsid w:val="0088225E"/>
    <w:rsid w:val="008A381E"/>
    <w:rsid w:val="008A40B6"/>
    <w:rsid w:val="008C57DF"/>
    <w:rsid w:val="008D24B2"/>
    <w:rsid w:val="008E46C8"/>
    <w:rsid w:val="008E4ABA"/>
    <w:rsid w:val="00903076"/>
    <w:rsid w:val="00915AA9"/>
    <w:rsid w:val="00917542"/>
    <w:rsid w:val="009242FC"/>
    <w:rsid w:val="00940BE0"/>
    <w:rsid w:val="0095135D"/>
    <w:rsid w:val="00953996"/>
    <w:rsid w:val="009572F1"/>
    <w:rsid w:val="009611D5"/>
    <w:rsid w:val="00986183"/>
    <w:rsid w:val="00990033"/>
    <w:rsid w:val="00993EDD"/>
    <w:rsid w:val="009B50D9"/>
    <w:rsid w:val="009D74CA"/>
    <w:rsid w:val="00A36B73"/>
    <w:rsid w:val="00A51064"/>
    <w:rsid w:val="00A57A8F"/>
    <w:rsid w:val="00AA031B"/>
    <w:rsid w:val="00AB7F94"/>
    <w:rsid w:val="00AC148C"/>
    <w:rsid w:val="00AC31F7"/>
    <w:rsid w:val="00AC4FDD"/>
    <w:rsid w:val="00AD4341"/>
    <w:rsid w:val="00AD4734"/>
    <w:rsid w:val="00AD5126"/>
    <w:rsid w:val="00AE7C04"/>
    <w:rsid w:val="00B002C0"/>
    <w:rsid w:val="00B10681"/>
    <w:rsid w:val="00B47715"/>
    <w:rsid w:val="00B63CD2"/>
    <w:rsid w:val="00BA4771"/>
    <w:rsid w:val="00BA7E59"/>
    <w:rsid w:val="00BB4E55"/>
    <w:rsid w:val="00BB6297"/>
    <w:rsid w:val="00BC74F6"/>
    <w:rsid w:val="00BD0487"/>
    <w:rsid w:val="00BD7C3B"/>
    <w:rsid w:val="00BE1DC5"/>
    <w:rsid w:val="00BE78EA"/>
    <w:rsid w:val="00BF6865"/>
    <w:rsid w:val="00BF6911"/>
    <w:rsid w:val="00C0135C"/>
    <w:rsid w:val="00C049FB"/>
    <w:rsid w:val="00C1725F"/>
    <w:rsid w:val="00C259B4"/>
    <w:rsid w:val="00C366BD"/>
    <w:rsid w:val="00C6466B"/>
    <w:rsid w:val="00C65D16"/>
    <w:rsid w:val="00C906C9"/>
    <w:rsid w:val="00CA60AE"/>
    <w:rsid w:val="00CB23A1"/>
    <w:rsid w:val="00CF2CFC"/>
    <w:rsid w:val="00CF4FDF"/>
    <w:rsid w:val="00CF793D"/>
    <w:rsid w:val="00D013B2"/>
    <w:rsid w:val="00D2326E"/>
    <w:rsid w:val="00D27F4A"/>
    <w:rsid w:val="00D409C1"/>
    <w:rsid w:val="00D5419B"/>
    <w:rsid w:val="00D60B1F"/>
    <w:rsid w:val="00D61144"/>
    <w:rsid w:val="00D75E47"/>
    <w:rsid w:val="00D77746"/>
    <w:rsid w:val="00D85C26"/>
    <w:rsid w:val="00D86A3B"/>
    <w:rsid w:val="00D94FE4"/>
    <w:rsid w:val="00DB1EFC"/>
    <w:rsid w:val="00DC1419"/>
    <w:rsid w:val="00E0120C"/>
    <w:rsid w:val="00E14D86"/>
    <w:rsid w:val="00E16CD9"/>
    <w:rsid w:val="00E17509"/>
    <w:rsid w:val="00E33F9A"/>
    <w:rsid w:val="00E5165B"/>
    <w:rsid w:val="00E7423E"/>
    <w:rsid w:val="00E94620"/>
    <w:rsid w:val="00EA4E03"/>
    <w:rsid w:val="00EF5C09"/>
    <w:rsid w:val="00F0167B"/>
    <w:rsid w:val="00F15E5A"/>
    <w:rsid w:val="00F31E90"/>
    <w:rsid w:val="00F47AE7"/>
    <w:rsid w:val="00F620E3"/>
    <w:rsid w:val="00FB2560"/>
    <w:rsid w:val="00FD2387"/>
    <w:rsid w:val="00FE2059"/>
    <w:rsid w:val="00FF18ED"/>
    <w:rsid w:val="086F6304"/>
    <w:rsid w:val="0B1D29AC"/>
    <w:rsid w:val="18695EA0"/>
    <w:rsid w:val="26B464DF"/>
    <w:rsid w:val="29D049D4"/>
    <w:rsid w:val="379312C1"/>
    <w:rsid w:val="3C5603EF"/>
    <w:rsid w:val="48FE1593"/>
    <w:rsid w:val="4EA517DA"/>
    <w:rsid w:val="54AB1B13"/>
    <w:rsid w:val="5D7B6370"/>
    <w:rsid w:val="750060EC"/>
    <w:rsid w:val="759E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6"/>
    <w:qFormat/>
    <w:uiPriority w:val="0"/>
    <w:pPr>
      <w:jc w:val="left"/>
    </w:pPr>
  </w:style>
  <w:style w:type="paragraph" w:styleId="6">
    <w:name w:val="Balloon Text"/>
    <w:basedOn w:val="1"/>
    <w:link w:val="25"/>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3">
    <w:name w:val="annotation subject"/>
    <w:basedOn w:val="5"/>
    <w:next w:val="5"/>
    <w:link w:val="27"/>
    <w:qFormat/>
    <w:uiPriority w:val="0"/>
    <w:rPr>
      <w:b/>
      <w:bCs/>
    </w:rPr>
  </w:style>
  <w:style w:type="character" w:styleId="16">
    <w:name w:val="Hyperlink"/>
    <w:basedOn w:val="15"/>
    <w:qFormat/>
    <w:uiPriority w:val="99"/>
    <w:rPr>
      <w:color w:val="0563C1"/>
      <w:u w:val="single"/>
    </w:rPr>
  </w:style>
  <w:style w:type="character" w:styleId="17">
    <w:name w:val="annotation reference"/>
    <w:basedOn w:val="15"/>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标题 2 字符"/>
    <w:basedOn w:val="15"/>
    <w:link w:val="3"/>
    <w:qFormat/>
    <w:uiPriority w:val="0"/>
    <w:rPr>
      <w:rFonts w:ascii="Calibri Light" w:hAnsi="Calibri Light" w:eastAsia="宋体" w:cs="宋体"/>
      <w:b/>
      <w:bCs/>
      <w:kern w:val="2"/>
      <w:sz w:val="32"/>
      <w:szCs w:val="32"/>
    </w:rPr>
  </w:style>
  <w:style w:type="character" w:customStyle="1" w:styleId="20">
    <w:name w:val="标题 1 字符"/>
    <w:basedOn w:val="15"/>
    <w:link w:val="2"/>
    <w:qFormat/>
    <w:uiPriority w:val="0"/>
    <w:rPr>
      <w:b/>
      <w:bCs/>
      <w:kern w:val="44"/>
      <w:sz w:val="44"/>
      <w:szCs w:val="44"/>
    </w:rPr>
  </w:style>
  <w:style w:type="character" w:customStyle="1" w:styleId="21">
    <w:name w:val="标题 3 字符"/>
    <w:basedOn w:val="15"/>
    <w:link w:val="4"/>
    <w:qFormat/>
    <w:uiPriority w:val="0"/>
    <w:rPr>
      <w:b/>
      <w:bCs/>
      <w:kern w:val="2"/>
      <w:sz w:val="32"/>
      <w:szCs w:val="32"/>
    </w:rPr>
  </w:style>
  <w:style w:type="character" w:customStyle="1" w:styleId="22">
    <w:name w:val="标题 字符"/>
    <w:basedOn w:val="15"/>
    <w:link w:val="12"/>
    <w:qFormat/>
    <w:uiPriority w:val="0"/>
    <w:rPr>
      <w:rFonts w:ascii="Calibri Light" w:hAnsi="Calibri Light" w:eastAsia="宋体" w:cs="宋体"/>
      <w:b/>
      <w:bCs/>
      <w:kern w:val="2"/>
      <w:sz w:val="32"/>
      <w:szCs w:val="32"/>
    </w:rPr>
  </w:style>
  <w:style w:type="character" w:customStyle="1" w:styleId="23">
    <w:name w:val="页眉 字符"/>
    <w:basedOn w:val="15"/>
    <w:link w:val="8"/>
    <w:qFormat/>
    <w:uiPriority w:val="0"/>
    <w:rPr>
      <w:kern w:val="2"/>
      <w:sz w:val="18"/>
      <w:szCs w:val="18"/>
    </w:rPr>
  </w:style>
  <w:style w:type="character" w:customStyle="1" w:styleId="24">
    <w:name w:val="页脚 字符"/>
    <w:basedOn w:val="15"/>
    <w:link w:val="7"/>
    <w:qFormat/>
    <w:uiPriority w:val="99"/>
    <w:rPr>
      <w:kern w:val="2"/>
      <w:sz w:val="18"/>
      <w:szCs w:val="18"/>
    </w:rPr>
  </w:style>
  <w:style w:type="character" w:customStyle="1" w:styleId="25">
    <w:name w:val="批注框文本 字符"/>
    <w:basedOn w:val="15"/>
    <w:link w:val="6"/>
    <w:qFormat/>
    <w:uiPriority w:val="0"/>
    <w:rPr>
      <w:kern w:val="2"/>
      <w:sz w:val="18"/>
      <w:szCs w:val="18"/>
    </w:rPr>
  </w:style>
  <w:style w:type="character" w:customStyle="1" w:styleId="26">
    <w:name w:val="批注文字 字符"/>
    <w:basedOn w:val="15"/>
    <w:link w:val="5"/>
    <w:qFormat/>
    <w:uiPriority w:val="0"/>
    <w:rPr>
      <w:kern w:val="2"/>
      <w:sz w:val="21"/>
      <w:szCs w:val="24"/>
    </w:rPr>
  </w:style>
  <w:style w:type="character" w:customStyle="1" w:styleId="27">
    <w:name w:val="批注主题 字符"/>
    <w:basedOn w:val="26"/>
    <w:link w:val="13"/>
    <w:qFormat/>
    <w:uiPriority w:val="0"/>
    <w:rPr>
      <w:b/>
      <w:bCs/>
      <w:kern w:val="2"/>
      <w:sz w:val="21"/>
      <w:szCs w:val="24"/>
    </w:rPr>
  </w:style>
  <w:style w:type="paragraph" w:customStyle="1" w:styleId="28">
    <w:name w:val="修订1"/>
    <w:qFormat/>
    <w:uiPriority w:val="99"/>
    <w:rPr>
      <w:rFonts w:ascii="Calibri" w:hAnsi="Calibri" w:eastAsia="宋体" w:cs="宋体"/>
      <w:kern w:val="2"/>
      <w:sz w:val="21"/>
      <w:szCs w:val="24"/>
      <w:lang w:val="en-US" w:eastAsia="zh-CN" w:bidi="ar-SA"/>
    </w:rPr>
  </w:style>
  <w:style w:type="paragraph" w:customStyle="1" w:styleId="2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1245</Words>
  <Characters>7099</Characters>
  <Lines>59</Lines>
  <Paragraphs>16</Paragraphs>
  <TotalTime>5</TotalTime>
  <ScaleCrop>false</ScaleCrop>
  <LinksUpToDate>false</LinksUpToDate>
  <CharactersWithSpaces>8328</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2020-07-20T10:50:00Z</dcterms:created>
  <dc:creator>卢橘夏熟</dc:creator>
  <cp:lastModifiedBy>王榕</cp:lastModifiedBy>
  <cp:lastPrinted>2020-07-10T06:03:00Z</cp:lastPrinted>
  <dcterms:modified xsi:type="dcterms:W3CDTF">2020-07-23T09:48:26Z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