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简体" w:hAnsi="宋体" w:eastAsia="方正小标宋简体" w:cs="宋体"/>
          <w:kern w:val="0"/>
          <w:szCs w:val="32"/>
          <w:lang w:eastAsia="zh-CN"/>
        </w:rPr>
      </w:pPr>
      <w:r>
        <w:rPr>
          <w:rFonts w:hint="eastAsia" w:ascii="方正小标宋简体" w:hAnsi="宋体" w:eastAsia="方正小标宋简体" w:cs="宋体"/>
          <w:kern w:val="0"/>
          <w:szCs w:val="32"/>
          <w:lang w:eastAsia="zh-CN"/>
        </w:rPr>
        <w:t>附件</w:t>
      </w:r>
    </w:p>
    <w:p>
      <w:pPr>
        <w:spacing w:line="560" w:lineRule="exact"/>
        <w:jc w:val="both"/>
        <w:rPr>
          <w:rFonts w:hint="eastAsia" w:ascii="方正小标宋简体" w:hAnsi="宋体" w:eastAsia="方正小标宋简体" w:cs="宋体"/>
          <w:kern w:val="0"/>
          <w:szCs w:val="32"/>
          <w:lang w:eastAsia="zh-CN"/>
        </w:rPr>
      </w:pPr>
    </w:p>
    <w:p>
      <w:pPr>
        <w:spacing w:line="560" w:lineRule="exact"/>
        <w:jc w:val="center"/>
        <w:rPr>
          <w:sz w:val="22"/>
          <w:szCs w:val="18"/>
        </w:rPr>
      </w:pPr>
      <w:r>
        <w:rPr>
          <w:rFonts w:hint="eastAsia" w:ascii="方正小标宋简体" w:hAnsi="宋体" w:eastAsia="方正小标宋简体" w:cs="宋体"/>
          <w:kern w:val="0"/>
          <w:szCs w:val="32"/>
        </w:rPr>
        <w:t>深圳市大鹏新区2019年科技项目验收和备案结果</w:t>
      </w:r>
    </w:p>
    <w:tbl>
      <w:tblPr>
        <w:tblStyle w:val="2"/>
        <w:tblW w:w="51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1503"/>
        <w:gridCol w:w="2723"/>
        <w:gridCol w:w="1348"/>
        <w:gridCol w:w="113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序号</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申报单位</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项目名称</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项目编号</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项目类型</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验收结论/备案结论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广东海洋大学深圳研究院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利用分子标记开发快速鉴定石珊瑚技术研究</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KY20160107</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广东海洋大学深圳研究院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鰤鱼诺卡氏菌减毒活疫苗的研制与标准化应用技术</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KY20160207</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广东海洋大学深圳研究院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水产品中重金属离子快速检测试剂盒开发</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KY20170209</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广东海洋大学深圳研究院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改善记忆和抑郁症的海参生物制品关键技术研究</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KY20170210</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广东海洋大学深圳研究院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九孔鲍新品系继代选育及扩繁制种</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KY20170211</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广东海洋大学深圳研究院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海水淡化—制盐系统中变振幅脉动能交换器的研发</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KY20180113</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7</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深圳比亚迪微电子有限公司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高功率密度功率模块研发</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KY20180102</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深圳比亚迪微电子有限公司</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1200V</w:t>
            </w:r>
            <w:r>
              <w:rPr>
                <w:rFonts w:hint="eastAsia" w:cs="Times New Roman" w:asciiTheme="minorEastAsia" w:hAnsiTheme="minorEastAsia" w:eastAsiaTheme="minorEastAsia"/>
                <w:kern w:val="0"/>
                <w:sz w:val="21"/>
                <w:szCs w:val="21"/>
              </w:rPr>
              <w:t>车用功率模块研发</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PT20170301</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比亚迪股份有限公司</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2015</w:t>
            </w:r>
            <w:r>
              <w:rPr>
                <w:rFonts w:hint="eastAsia" w:cs="Times New Roman" w:asciiTheme="minorEastAsia" w:hAnsiTheme="minorEastAsia" w:eastAsiaTheme="minorEastAsia"/>
                <w:kern w:val="0"/>
                <w:sz w:val="21"/>
                <w:szCs w:val="21"/>
              </w:rPr>
              <w:t>年深圳市直通车企业专利申请资助</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PT20160114</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无需验收和备案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10</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深圳华大海洋科技有限公司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基于基因分型的石斑鱼优良种鱼鉴定技术</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KY20160102</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11</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深圳华大海洋科技有限公司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石斑鱼抗氨氮及亚硝酸盐相关分子标记开发</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KY20170205</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深圳华大海洋科技有限公司</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基因组学和生物信息学支撑的新型海洋药物研发</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PT20170302</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13</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深圳华大海洋科技有限公司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优质海马的规模化繁育与养殖示范</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KY20160307</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14</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深圳华大三生园科技有限公司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基于SNP标记的鲜食玉米种质遗传多样性分析</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KY20160101</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15</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深圳华大三生园科技有限公司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全基因组分子育种技术高效创制优质高产黑米不育系</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KY20160201</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16</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深圳华大三生园科技有限公司</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降血脂益生菌类产品的中试与示范项目配套</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PT20160201</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17</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深圳华康生物医学工程有限公司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肝吸虫抗原表位的重组与表达及新型肝吸虫IgG抗体检测试剂盒的研发</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KY20170201</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18</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深圳华康生物医学工程有限公司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精子DNA完整性检测试剂盒（流式细胞法）的研发及产业化</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KY20180208</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19</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深圳科诺桥科技股份有限公司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用于挠性线路板的超薄型电磁屏蔽材料</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KY20170208</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20</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深圳罗兹曼国际转化医学研究院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放疗耐受型肿瘤细胞再致敏诱导的研究</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KY20160301</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21</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深圳罗兹曼国际转化医学研究院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单纯疱疹病毒潜伏感染的分子机制及治疗药物开发</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KY20160302</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22</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深圳罗兹曼国际转化医学研究院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乳腺癌基因治疗新型载体关键技术研发</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PT20160204</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23</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深圳罗兹曼国际转化医学研究院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靶向金黄色葡萄球菌转肽酶A的抑制剂研究</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KY20170202</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24</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深圳罗兹曼国际转化医学研究院</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耐药性金黄色葡萄球菌免疫治疗关键技术研发</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PT20160301</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25</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深圳罗兹曼国际转化医学研究院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实体肿瘤的溶瘤免疫双重治疗</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QT20150201</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其他类</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26</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深圳市比克电池有限公司</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重</w:t>
            </w:r>
            <w:r>
              <w:rPr>
                <w:rFonts w:cs="Times New Roman" w:asciiTheme="minorEastAsia" w:hAnsiTheme="minorEastAsia" w:eastAsiaTheme="minorEastAsia"/>
                <w:kern w:val="0"/>
                <w:sz w:val="21"/>
                <w:szCs w:val="21"/>
              </w:rPr>
              <w:t>20150171</w:t>
            </w:r>
            <w:r>
              <w:rPr>
                <w:rFonts w:hint="eastAsia" w:cs="Times New Roman" w:asciiTheme="minorEastAsia" w:hAnsiTheme="minorEastAsia" w:eastAsiaTheme="minorEastAsia"/>
                <w:kern w:val="0"/>
                <w:sz w:val="21"/>
                <w:szCs w:val="21"/>
              </w:rPr>
              <w:t>：</w:t>
            </w:r>
            <w:r>
              <w:rPr>
                <w:rFonts w:cs="Times New Roman" w:asciiTheme="minorEastAsia" w:hAnsiTheme="minorEastAsia" w:eastAsiaTheme="minorEastAsia"/>
                <w:kern w:val="0"/>
                <w:sz w:val="21"/>
                <w:szCs w:val="21"/>
              </w:rPr>
              <w:t>18650-3.8Ah</w:t>
            </w:r>
            <w:r>
              <w:rPr>
                <w:rFonts w:hint="eastAsia" w:cs="Times New Roman" w:asciiTheme="minorEastAsia" w:hAnsiTheme="minorEastAsia" w:eastAsiaTheme="minorEastAsia"/>
                <w:kern w:val="0"/>
                <w:sz w:val="21"/>
                <w:szCs w:val="21"/>
              </w:rPr>
              <w:t>高容量动力锂离子电池关键技术研发</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PT20160115</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27</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深圳市比克电池有限公司</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高比能</w:t>
            </w:r>
            <w:r>
              <w:rPr>
                <w:rFonts w:cs="Times New Roman" w:asciiTheme="minorEastAsia" w:hAnsiTheme="minorEastAsia" w:eastAsiaTheme="minorEastAsia"/>
                <w:kern w:val="0"/>
                <w:sz w:val="21"/>
                <w:szCs w:val="21"/>
              </w:rPr>
              <w:t>18650</w:t>
            </w:r>
            <w:r>
              <w:rPr>
                <w:rFonts w:hint="eastAsia" w:cs="Times New Roman" w:asciiTheme="minorEastAsia" w:hAnsiTheme="minorEastAsia" w:eastAsiaTheme="minorEastAsia"/>
                <w:kern w:val="0"/>
                <w:sz w:val="21"/>
                <w:szCs w:val="21"/>
              </w:rPr>
              <w:t>锂离子电池及其新材料应用技术研究</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PT20170304</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无需验收和备案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28</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深圳市比克动力电池有限公司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高功率密度2614865方形动力大电池开发</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KY20160105</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29</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深圳市比克动力电池有限公司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高安全性全固态锂电池开发与性能研究</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KY20160303</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30</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深圳市比克动力电池有限公司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新能源汽车动力电池技术提升</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PT20170202</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无需验收和备案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31</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深圳市比克动力电池有限公司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低温型高能量密度圆柱动力电池性能研究和开发</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KY20160304</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32</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深圳市大鹏新区疾病预防控制中心</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深圳市大鹏新区病媒生物监测与分子流行病学研究</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YL20160101</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医疗教育环保科研项目</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33</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深圳市大鹏新区葵涌人民医院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细菌性阴道病与宫颈高危型HPV感染的相关性研究</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YL20170201</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医疗教育环保科研项目</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34</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深圳市大鹏新区南澳人民医院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居家康复服务对脑卒中后遗症患者ADL和生存质量的影响</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YL20160301</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医疗环保教育科研项目</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35</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深圳市大鹏新区南澳人民医院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电针拮抗肌运动点结合现代康复训练治疗脑卒中后足下垂的临床疗效观察</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YL20160302</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医疗环保教育科研项目</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36</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深圳市大鹏新区南澳人民医院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肌电生物反馈疗法联合PNF治疗脑卒中患者偏瘫下肢功能的疗效观察  </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YL20160303</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医疗环保教育科研项目</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37</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深圳市大鹏新区南澳人民医院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麦肯基力学疗法联合肌内效贴治疗腰椎间盘突出症的疗效观察</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YL20160304</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医疗环保教育科研项目</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38</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深圳市大鹏新区南澳人民医院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舌针结合康复功能训练治疗脑卒中后吞咽功能障碍临床疗效观察</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YL20160305</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医疗环保教育科研项目</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39</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深圳市大鹏新区南澳人民医院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功能性电刺激结合康复踏车训练对脑卒中患者步行功能的影响研究</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YL20160306</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医疗环保教育科研项目</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40</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深圳市海优康生物科技有限公司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海洋源生物活性骨水泥的前期研究</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KY20150110</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41</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深圳市海优康生物科技有限公司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用于骨髓炎微创修复的负载硫酸庆大霉素的海洋源生物活性复合骨水泥体系的开发</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KY20160108</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42</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深圳市海优康生物科技有限公司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鱼油甘油酯化技术开发</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KY20160109</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43</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深圳市鸿美诊断技术有限公司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幽门螺杆菌耐药基因检测试剂盒研发</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KY20160202</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44</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深圳市鸿美诊断技术有限公司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脂联素作为糖尿病早期风险评估的新型诊断指标</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KY20170207</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45</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深圳市鸿美诊断技术有限公司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中性粒细胞明胶酶相关脂质运载蛋白（NGAL）作为急性肾损伤的新型诊断指标</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KY20180110</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46</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深圳市环球联众生物科技有限公司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南美白对虾种苗人工咸水繁育项目</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KY20160206</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47</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深圳市凯琦佳科技股份有限公司</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新能源领域的铝电解电容器纳米技术的应用开发</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PT20160202</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48</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深圳市凯琦佳科技股份有限公司</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BH20</w:t>
            </w:r>
            <w:r>
              <w:rPr>
                <w:rFonts w:hint="eastAsia" w:cs="Times New Roman" w:asciiTheme="minorEastAsia" w:hAnsiTheme="minorEastAsia" w:eastAsiaTheme="minorEastAsia"/>
                <w:kern w:val="0"/>
                <w:sz w:val="21"/>
                <w:szCs w:val="21"/>
              </w:rPr>
              <w:t>系列高可靠超小体积铝电解电容器的研发</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PT20160203</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49</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深圳市蓝汀鼎执生物科技有限公司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长茎葡萄蕨藻有性繁殖育种技术研究</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CX20160101</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产学研合作项目</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50</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深圳市乐土生命科技投资有限公司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习惯性流产的染色体异常检测</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KY20180103</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51</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深圳市绿诗源生物技术有限公司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基于量子点标记的激素类残留仿生免疫检测试剂盒开发</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CX20150102</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产学研合作</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52</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深圳市绿诗源生物技术有限公司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猪瘟病毒抗体阻断ELISA检测试剂盒的研发</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KY20160203</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53</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深圳市绿诗源生物技术有限公司</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重</w:t>
            </w:r>
            <w:r>
              <w:rPr>
                <w:rFonts w:cs="Times New Roman" w:asciiTheme="minorEastAsia" w:hAnsiTheme="minorEastAsia" w:eastAsiaTheme="minorEastAsia"/>
                <w:kern w:val="0"/>
                <w:sz w:val="21"/>
                <w:szCs w:val="21"/>
              </w:rPr>
              <w:t>20150028</w:t>
            </w:r>
            <w:r>
              <w:rPr>
                <w:rFonts w:hint="eastAsia" w:cs="Times New Roman" w:asciiTheme="minorEastAsia" w:hAnsiTheme="minorEastAsia" w:eastAsiaTheme="minorEastAsia"/>
                <w:kern w:val="0"/>
                <w:sz w:val="21"/>
                <w:szCs w:val="21"/>
              </w:rPr>
              <w:t>：食品安全检测用基因工程抗体技术研发</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PT20160104</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54</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深圳市绿诗源生物技术有限公司</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动物两病（布病与结核）快速检测试剂的研制与推广</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PT20160105</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55</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深圳市绿诗源生物技术有限公司</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牛羊鲜奶及奶制品中抗生素残留快速检测试剂的应用推广</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PT20170104</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56</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深圳市人民医院转化医学协同创新中心</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microRNA</w:t>
            </w:r>
            <w:r>
              <w:rPr>
                <w:rFonts w:hint="eastAsia" w:cs="Times New Roman" w:asciiTheme="minorEastAsia" w:hAnsiTheme="minorEastAsia" w:eastAsiaTheme="minorEastAsia"/>
                <w:kern w:val="0"/>
                <w:sz w:val="21"/>
                <w:szCs w:val="21"/>
              </w:rPr>
              <w:t>在骨质疏松性椎体骨折中的作用和作为潜在生物标志的应用研究</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PT20170107</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57</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深圳市人民医院转化医学协同创新中心</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肿瘤靶向性</w:t>
            </w:r>
            <w:r>
              <w:rPr>
                <w:rFonts w:cs="Times New Roman" w:asciiTheme="minorEastAsia" w:hAnsiTheme="minorEastAsia" w:eastAsiaTheme="minorEastAsia"/>
                <w:kern w:val="0"/>
                <w:sz w:val="21"/>
                <w:szCs w:val="21"/>
              </w:rPr>
              <w:t>T-CTL</w:t>
            </w:r>
            <w:r>
              <w:rPr>
                <w:rFonts w:hint="eastAsia" w:cs="Times New Roman" w:asciiTheme="minorEastAsia" w:hAnsiTheme="minorEastAsia" w:eastAsiaTheme="minorEastAsia"/>
                <w:kern w:val="0"/>
                <w:sz w:val="21"/>
                <w:szCs w:val="21"/>
              </w:rPr>
              <w:t>免疫细胞治疗</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PT20170108</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58</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深圳市尚水智能设备有限公司</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锂离子电池浆料高速超细分散设备的研发</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PT20170101</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59</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深圳市深博泰生物科技有限公司</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重</w:t>
            </w:r>
            <w:r>
              <w:rPr>
                <w:rFonts w:cs="Times New Roman" w:asciiTheme="minorEastAsia" w:hAnsiTheme="minorEastAsia" w:eastAsiaTheme="minorEastAsia"/>
                <w:kern w:val="0"/>
                <w:sz w:val="21"/>
                <w:szCs w:val="21"/>
              </w:rPr>
              <w:t>2014-164</w:t>
            </w:r>
            <w:r>
              <w:rPr>
                <w:rFonts w:hint="eastAsia" w:cs="Times New Roman" w:asciiTheme="minorEastAsia" w:hAnsiTheme="minorEastAsia" w:eastAsiaTheme="minorEastAsia"/>
                <w:kern w:val="0"/>
                <w:sz w:val="21"/>
                <w:szCs w:val="21"/>
              </w:rPr>
              <w:t>：天然虾红素提取关键技术研究</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PT20160106</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60</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深圳市新农田农业技术有限公司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微生物防治农业面源化污染的研究与应用</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KY20150208</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61</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深圳市雄韬电源科技股份有限公司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雄韬电池技术工艺装备改造升级项目</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PT20160101</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无需验收和备案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62</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深圳市雄韬电源科技股份有限公司</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基于新型电极催化剂的燃料电池关键技术研发配套扶持</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PT20170102</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63</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深圳市雄韬电源科技股份有限公司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深圳汽车启停电池回收工程实验室配套扶持</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 xml:space="preserve">RC20170301 </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64</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深圳市亦诺微医药科技有限公司</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食管癌的溶瘤免疫治疗新药临床前开发研究</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PT20160103</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65</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深圳市因诺转化医学研究院</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肿瘤治疗免疫逃逸及调控关键技术研究</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KY20160111</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66</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深圳市因诺转化医学研究院</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重</w:t>
            </w:r>
            <w:r>
              <w:rPr>
                <w:rFonts w:cs="Times New Roman" w:asciiTheme="minorEastAsia" w:hAnsiTheme="minorEastAsia" w:eastAsiaTheme="minorEastAsia"/>
                <w:kern w:val="0"/>
                <w:sz w:val="21"/>
                <w:szCs w:val="21"/>
              </w:rPr>
              <w:t>20160289</w:t>
            </w:r>
            <w:r>
              <w:rPr>
                <w:rFonts w:hint="eastAsia" w:cs="Times New Roman" w:asciiTheme="minorEastAsia" w:hAnsiTheme="minorEastAsia" w:eastAsiaTheme="minorEastAsia"/>
                <w:kern w:val="0"/>
                <w:sz w:val="21"/>
                <w:szCs w:val="21"/>
              </w:rPr>
              <w:t>新型肿瘤特异性抗原鉴定关键技术研发</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PT20170103</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67</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深圳市兆凯生物工程研发中心有限公司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海洋贝类育苗硅藻饵料开发</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KY20160106</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noWrap/>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68</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深圳雄韬实业有限公司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连铸连轧极板生产改造升级项目</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PT20160102</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无需验收和备案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69</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深圳中兴创新材料技术有限公司</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储能型锂离子电池用复合隔膜的研发及产业化</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PT20150110</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70</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三种重要鳞翅目害虫的基因编辑研究</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KY20160103</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71</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水稻MAGIC群体高产、抗旱遗传重叠分析与优异基因发掘</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KY20160104</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72</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SMRT测序长序列的组装算法及工具研发</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KY20160204</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科技研发项目</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73</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ChIP-exo技术研发</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KY20160308</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74</w:t>
            </w:r>
          </w:p>
        </w:tc>
        <w:tc>
          <w:tcPr>
            <w:tcW w:w="858"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基于多光谱图像的薇甘菊实时监测装备及关键技术研究</w:t>
            </w:r>
          </w:p>
        </w:tc>
        <w:tc>
          <w:tcPr>
            <w:tcW w:w="770"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KY20180117</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科技研发</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75</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优质高产水稻新品种广两优</w:t>
            </w:r>
            <w:r>
              <w:rPr>
                <w:rFonts w:cs="Times New Roman" w:asciiTheme="minorEastAsia" w:hAnsiTheme="minorEastAsia" w:eastAsiaTheme="minorEastAsia"/>
                <w:kern w:val="0"/>
                <w:sz w:val="21"/>
                <w:szCs w:val="21"/>
              </w:rPr>
              <w:t>7217</w:t>
            </w:r>
            <w:r>
              <w:rPr>
                <w:rFonts w:hint="eastAsia" w:cs="Times New Roman" w:asciiTheme="minorEastAsia" w:hAnsiTheme="minorEastAsia" w:eastAsiaTheme="minorEastAsia"/>
                <w:kern w:val="0"/>
                <w:sz w:val="21"/>
                <w:szCs w:val="21"/>
              </w:rPr>
              <w:t>推广应用</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PT20160107</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76</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玉米谷氨酰胺合成酶控制种子数量和大小的分子遗传调控机制研究</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PT20160108</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77</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玉米小</w:t>
            </w:r>
            <w:r>
              <w:rPr>
                <w:rFonts w:cs="Times New Roman" w:asciiTheme="minorEastAsia" w:hAnsiTheme="minorEastAsia" w:eastAsiaTheme="minorEastAsia"/>
                <w:kern w:val="0"/>
                <w:sz w:val="21"/>
                <w:szCs w:val="21"/>
              </w:rPr>
              <w:t xml:space="preserve"> RNA </w:t>
            </w:r>
            <w:r>
              <w:rPr>
                <w:rFonts w:hint="eastAsia" w:cs="Times New Roman" w:asciiTheme="minorEastAsia" w:hAnsiTheme="minorEastAsia" w:eastAsiaTheme="minorEastAsia"/>
                <w:kern w:val="0"/>
                <w:sz w:val="21"/>
                <w:szCs w:val="21"/>
              </w:rPr>
              <w:t>人工表达技术及其在分子育种中的应用</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PT20160109</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78</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南方冬作彩色马铃薯新品种选育与示范</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PT20160110</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79</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基</w:t>
            </w:r>
            <w:r>
              <w:rPr>
                <w:rFonts w:cs="Times New Roman" w:asciiTheme="minorEastAsia" w:hAnsiTheme="minorEastAsia" w:eastAsiaTheme="minorEastAsia"/>
                <w:kern w:val="0"/>
                <w:sz w:val="21"/>
                <w:szCs w:val="21"/>
              </w:rPr>
              <w:t>20150109</w:t>
            </w:r>
            <w:r>
              <w:rPr>
                <w:rFonts w:hint="eastAsia" w:cs="Times New Roman" w:asciiTheme="minorEastAsia" w:hAnsiTheme="minorEastAsia" w:eastAsiaTheme="minorEastAsia"/>
                <w:kern w:val="0"/>
                <w:sz w:val="21"/>
                <w:szCs w:val="21"/>
              </w:rPr>
              <w:t>叶绿体和线粒体基因转录后表达调控机制研究</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PT20160111</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80</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水稻</w:t>
            </w:r>
            <w:r>
              <w:rPr>
                <w:rFonts w:cs="Times New Roman" w:asciiTheme="minorEastAsia" w:hAnsiTheme="minorEastAsia" w:eastAsiaTheme="minorEastAsia"/>
                <w:kern w:val="0"/>
                <w:sz w:val="21"/>
                <w:szCs w:val="21"/>
              </w:rPr>
              <w:t>MAGIC</w:t>
            </w:r>
            <w:r>
              <w:rPr>
                <w:rFonts w:hint="eastAsia" w:cs="Times New Roman" w:asciiTheme="minorEastAsia" w:hAnsiTheme="minorEastAsia" w:eastAsiaTheme="minorEastAsia"/>
                <w:kern w:val="0"/>
                <w:sz w:val="21"/>
                <w:szCs w:val="21"/>
              </w:rPr>
              <w:t>群体氮高效利用和耐低氮遗传重叠分析与优异基因发掘</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PT20160112</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81</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深圳农业基因组表型分析与利用重点实验室</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PT20160205</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82</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重</w:t>
            </w:r>
            <w:r>
              <w:rPr>
                <w:rFonts w:cs="Times New Roman" w:asciiTheme="minorEastAsia" w:hAnsiTheme="minorEastAsia" w:eastAsiaTheme="minorEastAsia"/>
                <w:kern w:val="0"/>
                <w:sz w:val="21"/>
                <w:szCs w:val="21"/>
              </w:rPr>
              <w:t xml:space="preserve">20160581 </w:t>
            </w:r>
            <w:r>
              <w:rPr>
                <w:rFonts w:hint="eastAsia" w:cs="Times New Roman" w:asciiTheme="minorEastAsia" w:hAnsiTheme="minorEastAsia" w:eastAsiaTheme="minorEastAsia"/>
                <w:kern w:val="0"/>
                <w:sz w:val="21"/>
                <w:szCs w:val="21"/>
              </w:rPr>
              <w:t>基于基因组信息的水稻种质创制技术体系研发</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PT20170106</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83</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RDO5</w:t>
            </w:r>
            <w:r>
              <w:rPr>
                <w:rFonts w:hint="eastAsia" w:cs="Times New Roman" w:asciiTheme="minorEastAsia" w:hAnsiTheme="minorEastAsia" w:eastAsiaTheme="minorEastAsia"/>
                <w:kern w:val="0"/>
                <w:sz w:val="21"/>
                <w:szCs w:val="21"/>
              </w:rPr>
              <w:t>控制种子休眠功能的深入分析</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PT20170307</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84</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超级杂交稻杂种优势主效</w:t>
            </w:r>
            <w:r>
              <w:rPr>
                <w:rFonts w:cs="Times New Roman" w:asciiTheme="minorEastAsia" w:hAnsiTheme="minorEastAsia" w:eastAsiaTheme="minorEastAsia"/>
                <w:kern w:val="0"/>
                <w:sz w:val="21"/>
                <w:szCs w:val="21"/>
              </w:rPr>
              <w:t>QTL</w:t>
            </w:r>
            <w:r>
              <w:rPr>
                <w:rFonts w:hint="eastAsia" w:cs="Times New Roman" w:asciiTheme="minorEastAsia" w:hAnsiTheme="minorEastAsia" w:eastAsiaTheme="minorEastAsia"/>
                <w:kern w:val="0"/>
                <w:sz w:val="21"/>
                <w:szCs w:val="21"/>
              </w:rPr>
              <w:t>的克隆和功能研究</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PT20170311</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85</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环状</w:t>
            </w:r>
            <w:r>
              <w:rPr>
                <w:rFonts w:cs="Times New Roman" w:asciiTheme="minorEastAsia" w:hAnsiTheme="minorEastAsia" w:eastAsiaTheme="minorEastAsia"/>
                <w:kern w:val="0"/>
                <w:sz w:val="21"/>
                <w:szCs w:val="21"/>
              </w:rPr>
              <w:t>RNA2196</w:t>
            </w:r>
            <w:r>
              <w:rPr>
                <w:rFonts w:hint="eastAsia" w:cs="Times New Roman" w:asciiTheme="minorEastAsia" w:hAnsiTheme="minorEastAsia" w:eastAsiaTheme="minorEastAsia"/>
                <w:kern w:val="0"/>
                <w:sz w:val="21"/>
                <w:szCs w:val="21"/>
              </w:rPr>
              <w:t>对猪骨骼肌糖代谢及产肉性状的调控机制</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PT20170305</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86</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斜纹夜蛾</w:t>
            </w:r>
            <w:r>
              <w:rPr>
                <w:rFonts w:cs="Times New Roman" w:asciiTheme="minorEastAsia" w:hAnsiTheme="minorEastAsia" w:eastAsiaTheme="minorEastAsia"/>
                <w:kern w:val="0"/>
                <w:sz w:val="21"/>
                <w:szCs w:val="21"/>
              </w:rPr>
              <w:t>P</w:t>
            </w:r>
            <w:r>
              <w:rPr>
                <w:rFonts w:hint="eastAsia" w:cs="Times New Roman" w:asciiTheme="minorEastAsia" w:hAnsiTheme="minorEastAsia" w:eastAsiaTheme="minorEastAsia"/>
                <w:kern w:val="0"/>
                <w:sz w:val="21"/>
                <w:szCs w:val="21"/>
              </w:rPr>
              <w:t>糖蛋白对杀虫剂的解毒代谢功能分析及绿色防控技术开发</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PT20170306</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87</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苹果蠹蛾颗粒体病毒抗性产生中的</w:t>
            </w:r>
            <w:r>
              <w:rPr>
                <w:rFonts w:cs="Times New Roman" w:asciiTheme="minorEastAsia" w:hAnsiTheme="minorEastAsia" w:eastAsiaTheme="minorEastAsia"/>
                <w:kern w:val="0"/>
                <w:sz w:val="21"/>
                <w:szCs w:val="21"/>
              </w:rPr>
              <w:t>miRNA</w:t>
            </w:r>
            <w:r>
              <w:rPr>
                <w:rFonts w:hint="eastAsia" w:cs="Times New Roman" w:asciiTheme="minorEastAsia" w:hAnsiTheme="minorEastAsia" w:eastAsiaTheme="minorEastAsia"/>
                <w:kern w:val="0"/>
                <w:sz w:val="21"/>
                <w:szCs w:val="21"/>
              </w:rPr>
              <w:t>调控分析</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PT20170308</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88</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重要入侵生物的基因组特征及遗传结构</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PT20170309</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89</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中国农业科学院深圳农业基因组研究所</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入侵物种薇甘菊对土壤微生物菌群的影响以及微生物防治的探索</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PT20170310</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90</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中国农业科学院深圳农业基因组研究所</w:t>
            </w:r>
            <w:r>
              <w:rPr>
                <w:rFonts w:cs="Times New Roman" w:asciiTheme="minorEastAsia" w:hAnsiTheme="minorEastAsia" w:eastAsiaTheme="minorEastAsia"/>
                <w:kern w:val="0"/>
                <w:sz w:val="21"/>
                <w:szCs w:val="21"/>
              </w:rPr>
              <w:t xml:space="preserve"> </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猪长链非编码</w:t>
            </w:r>
            <w:r>
              <w:rPr>
                <w:rFonts w:cs="Times New Roman" w:asciiTheme="minorEastAsia" w:hAnsiTheme="minorEastAsia" w:eastAsiaTheme="minorEastAsia"/>
                <w:kern w:val="0"/>
                <w:sz w:val="21"/>
                <w:szCs w:val="21"/>
              </w:rPr>
              <w:t>RNA lnc-ED1</w:t>
            </w:r>
            <w:r>
              <w:rPr>
                <w:rFonts w:hint="eastAsia" w:cs="Times New Roman" w:asciiTheme="minorEastAsia" w:hAnsiTheme="minorEastAsia" w:eastAsiaTheme="minorEastAsia"/>
                <w:kern w:val="0"/>
                <w:sz w:val="21"/>
                <w:szCs w:val="21"/>
              </w:rPr>
              <w:t>对</w:t>
            </w:r>
            <w:r>
              <w:rPr>
                <w:rFonts w:cs="Times New Roman" w:asciiTheme="minorEastAsia" w:hAnsiTheme="minorEastAsia" w:eastAsiaTheme="minorEastAsia"/>
                <w:kern w:val="0"/>
                <w:sz w:val="21"/>
                <w:szCs w:val="21"/>
              </w:rPr>
              <w:t>miR-21</w:t>
            </w:r>
            <w:r>
              <w:rPr>
                <w:rFonts w:hint="eastAsia" w:cs="Times New Roman" w:asciiTheme="minorEastAsia" w:hAnsiTheme="minorEastAsia" w:eastAsiaTheme="minorEastAsia"/>
                <w:kern w:val="0"/>
                <w:sz w:val="21"/>
                <w:szCs w:val="21"/>
              </w:rPr>
              <w:t>的海绵体效应及其对骨骼肌生长发育的调控</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PT20170201</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91</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中国农业科学院深圳生物育种创新研究院</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优质高产水稻新组合钱</w:t>
            </w:r>
            <w:r>
              <w:rPr>
                <w:rFonts w:cs="Times New Roman" w:asciiTheme="minorEastAsia" w:hAnsiTheme="minorEastAsia" w:eastAsiaTheme="minorEastAsia"/>
                <w:kern w:val="0"/>
                <w:sz w:val="21"/>
                <w:szCs w:val="21"/>
              </w:rPr>
              <w:t>3</w:t>
            </w:r>
            <w:r>
              <w:rPr>
                <w:rFonts w:hint="eastAsia" w:cs="Times New Roman" w:asciiTheme="minorEastAsia" w:hAnsiTheme="minorEastAsia" w:eastAsiaTheme="minorEastAsia"/>
                <w:kern w:val="0"/>
                <w:sz w:val="21"/>
                <w:szCs w:val="21"/>
              </w:rPr>
              <w:t>优</w:t>
            </w:r>
            <w:r>
              <w:rPr>
                <w:rFonts w:cs="Times New Roman" w:asciiTheme="minorEastAsia" w:hAnsiTheme="minorEastAsia" w:eastAsiaTheme="minorEastAsia"/>
                <w:kern w:val="0"/>
                <w:sz w:val="21"/>
                <w:szCs w:val="21"/>
              </w:rPr>
              <w:t>982</w:t>
            </w:r>
            <w:r>
              <w:rPr>
                <w:rFonts w:hint="eastAsia" w:cs="Times New Roman" w:asciiTheme="minorEastAsia" w:hAnsiTheme="minorEastAsia" w:eastAsiaTheme="minorEastAsia"/>
                <w:kern w:val="0"/>
                <w:sz w:val="21"/>
                <w:szCs w:val="21"/>
              </w:rPr>
              <w:t>推广应用</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PT20160113</w:t>
            </w:r>
          </w:p>
        </w:tc>
        <w:tc>
          <w:tcPr>
            <w:tcW w:w="647"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92</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中国农业科学院深圳生物育种创新研究院</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优质早熟早晚稻兼用新品种中深</w:t>
            </w:r>
            <w:r>
              <w:rPr>
                <w:rFonts w:cs="Times New Roman" w:asciiTheme="minorEastAsia" w:hAnsiTheme="minorEastAsia" w:eastAsiaTheme="minorEastAsia"/>
                <w:kern w:val="0"/>
                <w:sz w:val="21"/>
                <w:szCs w:val="21"/>
              </w:rPr>
              <w:t>1</w:t>
            </w:r>
            <w:r>
              <w:rPr>
                <w:rFonts w:hint="eastAsia" w:cs="Times New Roman" w:asciiTheme="minorEastAsia" w:hAnsiTheme="minorEastAsia" w:eastAsiaTheme="minorEastAsia"/>
                <w:kern w:val="0"/>
                <w:sz w:val="21"/>
                <w:szCs w:val="21"/>
              </w:rPr>
              <w:t>号的高产栽培技术研究及推广应用</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PT20170105</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科技配套</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93</w:t>
            </w:r>
          </w:p>
        </w:tc>
        <w:tc>
          <w:tcPr>
            <w:tcW w:w="858"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中国农业科学院深圳生物育种创新研究院</w:t>
            </w:r>
          </w:p>
        </w:tc>
        <w:tc>
          <w:tcPr>
            <w:tcW w:w="1555"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全基因组信息指导的水稻分子设计育种技术研发</w:t>
            </w:r>
          </w:p>
        </w:tc>
        <w:tc>
          <w:tcPr>
            <w:tcW w:w="770"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TD20160201</w:t>
            </w:r>
          </w:p>
        </w:tc>
        <w:tc>
          <w:tcPr>
            <w:tcW w:w="647" w:type="pct"/>
            <w:shd w:val="clear" w:color="auto" w:fill="auto"/>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高端创新科研团队</w:t>
            </w:r>
          </w:p>
        </w:tc>
        <w:tc>
          <w:tcPr>
            <w:tcW w:w="729" w:type="pct"/>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整改</w:t>
            </w:r>
          </w:p>
        </w:tc>
      </w:tr>
    </w:tbl>
    <w:p>
      <w:pPr>
        <w:spacing w:line="560" w:lineRule="exact"/>
      </w:pPr>
    </w:p>
    <w:p>
      <w:pPr>
        <w:spacing w:line="560" w:lineRule="exact"/>
      </w:pPr>
    </w:p>
    <w:p>
      <w:pPr>
        <w:spacing w:line="560" w:lineRule="exac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674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nie</cp:lastModifiedBy>
  <dcterms:modified xsi:type="dcterms:W3CDTF">2020-01-09T09:19:40Z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